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5D5B7" w14:textId="77777777" w:rsidR="00B10ABA" w:rsidRPr="00A305C4" w:rsidRDefault="008E4A25" w:rsidP="00A52C1A">
      <w:pPr>
        <w:pStyle w:val="Title"/>
        <w:spacing w:before="2000" w:after="150"/>
        <w:ind w:left="0"/>
        <w:jc w:val="right"/>
        <w:rPr>
          <w:rFonts w:eastAsia="Times New Roman"/>
          <w:b/>
          <w:sz w:val="54"/>
        </w:rPr>
      </w:pPr>
      <w:r>
        <w:rPr>
          <w:rFonts w:eastAsia="Times New Roman"/>
          <w:b/>
          <w:sz w:val="54"/>
        </w:rPr>
        <w:t>Data Classification Guide</w:t>
      </w:r>
    </w:p>
    <w:p w14:paraId="44447D49" w14:textId="63B5A845" w:rsidR="00593254" w:rsidRDefault="00A4572A" w:rsidP="00A52C1A">
      <w:pPr>
        <w:pStyle w:val="Subtitle"/>
        <w:spacing w:line="240" w:lineRule="auto"/>
        <w:jc w:val="right"/>
        <w:rPr>
          <w:rFonts w:eastAsia="Times New Roman"/>
        </w:rPr>
      </w:pPr>
      <w:r>
        <w:rPr>
          <w:rFonts w:eastAsia="Times New Roman"/>
        </w:rPr>
        <w:t>Identifying the goals, processes</w:t>
      </w:r>
      <w:r w:rsidR="00F61B9F">
        <w:rPr>
          <w:rFonts w:eastAsia="Times New Roman"/>
        </w:rPr>
        <w:t>,</w:t>
      </w:r>
      <w:r>
        <w:rPr>
          <w:rFonts w:eastAsia="Times New Roman"/>
        </w:rPr>
        <w:t xml:space="preserve"> and benefits of data classification</w:t>
      </w:r>
    </w:p>
    <w:p w14:paraId="12872F04" w14:textId="77777777" w:rsidR="00A52C1A" w:rsidRDefault="00A52C1A" w:rsidP="00A52C1A">
      <w:pPr>
        <w:pStyle w:val="NoSpacing"/>
        <w:spacing w:before="6000"/>
        <w:ind w:left="1440"/>
        <w:rPr>
          <w:rStyle w:val="SubtleEmphasis"/>
          <w:i w:val="0"/>
        </w:rPr>
      </w:pPr>
      <w:r w:rsidRPr="00A65175">
        <w:rPr>
          <w:iCs/>
          <w:noProof/>
          <w:color w:val="808080" w:themeColor="text1" w:themeTint="7F"/>
        </w:rPr>
        <w:drawing>
          <wp:inline distT="0" distB="0" distL="0" distR="0" wp14:anchorId="2A618ADF" wp14:editId="7B194BF3">
            <wp:extent cx="1522730" cy="640080"/>
            <wp:effectExtent l="0" t="0" r="1270" b="7620"/>
            <wp:docPr id="2" name="Picture 2" descr="D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logo-txfullname-CMYK-300dpi-5in.jpg"/>
                    <pic:cNvPicPr/>
                  </pic:nvPicPr>
                  <pic:blipFill rotWithShape="1">
                    <a:blip r:embed="rId11" cstate="print">
                      <a:extLst>
                        <a:ext uri="{28A0092B-C50C-407E-A947-70E740481C1C}">
                          <a14:useLocalDpi xmlns:a14="http://schemas.microsoft.com/office/drawing/2010/main" val="0"/>
                        </a:ext>
                      </a:extLst>
                    </a:blip>
                    <a:srcRect l="13858" r="14130" b="17778"/>
                    <a:stretch/>
                  </pic:blipFill>
                  <pic:spPr bwMode="auto">
                    <a:xfrm>
                      <a:off x="0" y="0"/>
                      <a:ext cx="1522730" cy="640080"/>
                    </a:xfrm>
                    <a:prstGeom prst="rect">
                      <a:avLst/>
                    </a:prstGeom>
                    <a:ln>
                      <a:noFill/>
                    </a:ln>
                    <a:extLst>
                      <a:ext uri="{53640926-AAD7-44D8-BBD7-CCE9431645EC}">
                        <a14:shadowObscured xmlns:a14="http://schemas.microsoft.com/office/drawing/2010/main"/>
                      </a:ext>
                    </a:extLst>
                  </pic:spPr>
                </pic:pic>
              </a:graphicData>
            </a:graphic>
          </wp:inline>
        </w:drawing>
      </w:r>
    </w:p>
    <w:p w14:paraId="67236998" w14:textId="77777777" w:rsidR="00593254" w:rsidRPr="00A65175" w:rsidRDefault="00593254" w:rsidP="00A305C4">
      <w:pPr>
        <w:pStyle w:val="NoSpacing"/>
        <w:ind w:left="1440"/>
        <w:rPr>
          <w:rStyle w:val="SubtleEmphasis"/>
          <w:i w:val="0"/>
        </w:rPr>
      </w:pPr>
      <w:r w:rsidRPr="00A65175">
        <w:rPr>
          <w:rStyle w:val="SubtleEmphasis"/>
          <w:i w:val="0"/>
        </w:rPr>
        <w:t xml:space="preserve">Office of the Chief Information Security Officer, State of Texas </w:t>
      </w:r>
    </w:p>
    <w:p w14:paraId="5496CE73" w14:textId="77777777" w:rsidR="00B10ABA" w:rsidRPr="00A65175" w:rsidRDefault="00425BD7" w:rsidP="00A305C4">
      <w:pPr>
        <w:pStyle w:val="NoSpacing"/>
        <w:ind w:left="1440"/>
        <w:rPr>
          <w:rStyle w:val="SubtleEmphasis"/>
          <w:i w:val="0"/>
        </w:rPr>
      </w:pPr>
      <w:r w:rsidRPr="00A65175">
        <w:rPr>
          <w:rStyle w:val="SubtleEmphasis"/>
          <w:i w:val="0"/>
        </w:rPr>
        <w:t xml:space="preserve">Texas </w:t>
      </w:r>
      <w:r w:rsidR="00593254" w:rsidRPr="00A65175">
        <w:rPr>
          <w:rStyle w:val="SubtleEmphasis"/>
          <w:i w:val="0"/>
        </w:rPr>
        <w:t>Department of Informat</w:t>
      </w:r>
      <w:r w:rsidR="00593254" w:rsidRPr="00A65175">
        <w:rPr>
          <w:rStyle w:val="SubtleEmphasis"/>
          <w:i w:val="0"/>
          <w:color w:val="7F7F7F" w:themeColor="text1" w:themeTint="80"/>
        </w:rPr>
        <w:t>ion Resources</w:t>
      </w:r>
    </w:p>
    <w:p w14:paraId="387AF0A3" w14:textId="77777777" w:rsidR="00593254" w:rsidRPr="00A65175" w:rsidRDefault="00593254" w:rsidP="00A305C4">
      <w:pPr>
        <w:pStyle w:val="NoSpacing"/>
        <w:ind w:left="1440"/>
        <w:rPr>
          <w:rStyle w:val="SubtleEmphasis"/>
          <w:i w:val="0"/>
        </w:rPr>
      </w:pPr>
      <w:r w:rsidRPr="00A65175">
        <w:rPr>
          <w:rStyle w:val="SubtleEmphasis"/>
          <w:i w:val="0"/>
        </w:rPr>
        <w:t>300 W. 15th Street</w:t>
      </w:r>
      <w:r w:rsidR="00425BD7" w:rsidRPr="00A65175">
        <w:rPr>
          <w:rStyle w:val="SubtleEmphasis"/>
          <w:i w:val="0"/>
        </w:rPr>
        <w:t xml:space="preserve">, </w:t>
      </w:r>
      <w:r w:rsidRPr="00A65175">
        <w:rPr>
          <w:rStyle w:val="SubtleEmphasis"/>
          <w:i w:val="0"/>
        </w:rPr>
        <w:t>Suite 1300</w:t>
      </w:r>
    </w:p>
    <w:p w14:paraId="5F6E7567" w14:textId="77777777" w:rsidR="00A65175" w:rsidRDefault="00593254" w:rsidP="00A305C4">
      <w:pPr>
        <w:pStyle w:val="NoSpacing"/>
        <w:ind w:left="1440"/>
        <w:rPr>
          <w:rStyle w:val="SubtleEmphasis"/>
          <w:i w:val="0"/>
        </w:rPr>
      </w:pPr>
      <w:r w:rsidRPr="00A65175">
        <w:rPr>
          <w:rStyle w:val="SubtleEmphasis"/>
          <w:i w:val="0"/>
        </w:rPr>
        <w:t>Austin, Texas 78701</w:t>
      </w:r>
    </w:p>
    <w:p w14:paraId="2B9AE89B" w14:textId="77777777" w:rsidR="00A65175" w:rsidRDefault="00A65175" w:rsidP="00A305C4">
      <w:pPr>
        <w:pStyle w:val="NoSpacing"/>
        <w:ind w:left="1440"/>
        <w:rPr>
          <w:rStyle w:val="SubtleEmphasis"/>
          <w:i w:val="0"/>
        </w:rPr>
      </w:pPr>
    </w:p>
    <w:p w14:paraId="70DA4345" w14:textId="27E713CC" w:rsidR="00A65175" w:rsidRPr="00277E10" w:rsidRDefault="00A65175">
      <w:pPr>
        <w:pStyle w:val="NoSpacing"/>
        <w:ind w:left="1440"/>
        <w:rPr>
          <w:rStyle w:val="SubtleEmphasis"/>
          <w:i w:val="0"/>
          <w:iCs w:val="0"/>
          <w:color w:val="7F7F7F" w:themeColor="text1" w:themeTint="80"/>
        </w:rPr>
      </w:pPr>
      <w:r w:rsidRPr="008A4754">
        <w:rPr>
          <w:rStyle w:val="SubtleEmphasis"/>
          <w:i w:val="0"/>
          <w:iCs w:val="0"/>
          <w:color w:val="7F7F7F" w:themeColor="text1" w:themeTint="80"/>
        </w:rPr>
        <w:t>Version 1.</w:t>
      </w:r>
      <w:r w:rsidR="00F61B9F" w:rsidRPr="008A4754">
        <w:rPr>
          <w:rStyle w:val="SubtleEmphasis"/>
          <w:i w:val="0"/>
          <w:iCs w:val="0"/>
          <w:color w:val="7F7F7F" w:themeColor="text1" w:themeTint="80"/>
        </w:rPr>
        <w:t xml:space="preserve">1 </w:t>
      </w:r>
      <w:r w:rsidRPr="008A4754">
        <w:rPr>
          <w:rStyle w:val="SubtleEmphasis"/>
          <w:i w:val="0"/>
          <w:iCs w:val="0"/>
          <w:color w:val="7F7F7F" w:themeColor="text1" w:themeTint="80"/>
        </w:rPr>
        <w:t>|</w:t>
      </w:r>
      <w:r w:rsidR="00120A7A" w:rsidRPr="008A4754">
        <w:rPr>
          <w:rStyle w:val="SubtleEmphasis"/>
          <w:i w:val="0"/>
          <w:iCs w:val="0"/>
          <w:color w:val="7F7F7F" w:themeColor="text1" w:themeTint="80"/>
        </w:rPr>
        <w:t xml:space="preserve"> </w:t>
      </w:r>
      <w:r w:rsidR="0018215F">
        <w:rPr>
          <w:rStyle w:val="SubtleEmphasis"/>
          <w:i w:val="0"/>
          <w:iCs w:val="0"/>
          <w:color w:val="7F7F7F" w:themeColor="text1" w:themeTint="80"/>
        </w:rPr>
        <w:t>July</w:t>
      </w:r>
      <w:r w:rsidR="00D1724F" w:rsidRPr="008A4754">
        <w:rPr>
          <w:rStyle w:val="SubtleEmphasis"/>
          <w:i w:val="0"/>
          <w:iCs w:val="0"/>
          <w:color w:val="7F7F7F" w:themeColor="text1" w:themeTint="80"/>
        </w:rPr>
        <w:t xml:space="preserve"> </w:t>
      </w:r>
      <w:r w:rsidR="0018215F">
        <w:rPr>
          <w:rStyle w:val="SubtleEmphasis"/>
          <w:i w:val="0"/>
          <w:iCs w:val="0"/>
          <w:color w:val="7F7F7F" w:themeColor="text1" w:themeTint="80"/>
        </w:rPr>
        <w:t>6</w:t>
      </w:r>
      <w:r w:rsidR="00D1724F" w:rsidRPr="008A4754">
        <w:rPr>
          <w:rStyle w:val="SubtleEmphasis"/>
          <w:i w:val="0"/>
          <w:iCs w:val="0"/>
          <w:color w:val="7F7F7F" w:themeColor="text1" w:themeTint="80"/>
        </w:rPr>
        <w:t>, 2018</w:t>
      </w:r>
    </w:p>
    <w:p w14:paraId="00539A6B" w14:textId="77777777" w:rsidR="00A65175" w:rsidRDefault="00A65175" w:rsidP="00A65175">
      <w:pPr>
        <w:pStyle w:val="NoSpacing"/>
        <w:ind w:left="1440"/>
        <w:rPr>
          <w:rStyle w:val="SubtleEmphasis"/>
          <w:i w:val="0"/>
        </w:rPr>
      </w:pPr>
    </w:p>
    <w:p w14:paraId="2257A129" w14:textId="77777777" w:rsidR="0008718C" w:rsidRPr="00A65175" w:rsidRDefault="00593254" w:rsidP="00A305C4">
      <w:pPr>
        <w:pStyle w:val="NoSpacing"/>
        <w:ind w:left="1440"/>
        <w:rPr>
          <w:rFonts w:ascii="Times New Roman" w:eastAsia="Times New Roman" w:hAnsi="Times New Roman" w:cs="Times New Roman"/>
          <w:b/>
          <w:bCs/>
          <w:sz w:val="24"/>
          <w:szCs w:val="24"/>
        </w:rPr>
      </w:pPr>
      <w:r w:rsidRPr="00A65175">
        <w:rPr>
          <w:rFonts w:ascii="Times New Roman" w:eastAsia="Times New Roman" w:hAnsi="Times New Roman" w:cs="Times New Roman"/>
          <w:b/>
          <w:bCs/>
          <w:sz w:val="24"/>
          <w:szCs w:val="24"/>
        </w:rPr>
        <w:br w:type="page"/>
      </w:r>
    </w:p>
    <w:p w14:paraId="16CE74C5" w14:textId="77777777" w:rsidR="009969A7" w:rsidRDefault="009969A7" w:rsidP="00AE6E59">
      <w:pPr>
        <w:pStyle w:val="Heading2"/>
      </w:pPr>
      <w:bookmarkStart w:id="0" w:name="_Toc376876710"/>
      <w:bookmarkStart w:id="1" w:name="_Toc378775345"/>
      <w:bookmarkStart w:id="2" w:name="_Toc378852022"/>
      <w:bookmarkStart w:id="3" w:name="_Toc378934655"/>
    </w:p>
    <w:p w14:paraId="09626763" w14:textId="77777777" w:rsidR="000B4121" w:rsidRPr="00425BD7" w:rsidRDefault="000B4121" w:rsidP="00AE6E59">
      <w:pPr>
        <w:pStyle w:val="Heading2"/>
      </w:pPr>
      <w:bookmarkStart w:id="4" w:name="_Toc383084934"/>
      <w:bookmarkStart w:id="5" w:name="_Toc383084979"/>
      <w:bookmarkStart w:id="6" w:name="_Toc383521369"/>
      <w:bookmarkStart w:id="7" w:name="_Toc518646267"/>
      <w:r w:rsidRPr="00425BD7">
        <w:t>Acknowledgments</w:t>
      </w:r>
      <w:bookmarkEnd w:id="0"/>
      <w:bookmarkEnd w:id="1"/>
      <w:bookmarkEnd w:id="2"/>
      <w:bookmarkEnd w:id="3"/>
      <w:bookmarkEnd w:id="4"/>
      <w:bookmarkEnd w:id="5"/>
      <w:bookmarkEnd w:id="6"/>
      <w:bookmarkEnd w:id="7"/>
    </w:p>
    <w:p w14:paraId="1F24EED3" w14:textId="77777777" w:rsidR="000B4121" w:rsidRPr="00425BD7" w:rsidRDefault="000B4121" w:rsidP="00095653">
      <w:pPr>
        <w:spacing w:after="100"/>
      </w:pPr>
      <w:r w:rsidRPr="00425BD7">
        <w:t>Appreciation is offered to the following individuals and their organizations for their cooperation and support.</w:t>
      </w:r>
    </w:p>
    <w:p w14:paraId="66EACE6C" w14:textId="77777777" w:rsidR="008E4A25" w:rsidRDefault="008E4A25" w:rsidP="008E4A25">
      <w:pPr>
        <w:pStyle w:val="NoSpacing"/>
        <w:tabs>
          <w:tab w:val="left" w:pos="2880"/>
        </w:tabs>
        <w:ind w:left="720"/>
      </w:pPr>
      <w:r>
        <w:t>Lona Chastain</w:t>
      </w:r>
      <w:r>
        <w:tab/>
        <w:t xml:space="preserve">Texas Workforce Commission </w:t>
      </w:r>
    </w:p>
    <w:p w14:paraId="58FDE0CC" w14:textId="77777777" w:rsidR="008E4A25" w:rsidRDefault="008E4A25" w:rsidP="008E4A25">
      <w:pPr>
        <w:pStyle w:val="NoSpacing"/>
        <w:tabs>
          <w:tab w:val="left" w:pos="2880"/>
        </w:tabs>
        <w:ind w:left="720"/>
      </w:pPr>
      <w:r>
        <w:t xml:space="preserve">Kent Dyer </w:t>
      </w:r>
      <w:r>
        <w:tab/>
        <w:t xml:space="preserve">Texas Workforce Commission </w:t>
      </w:r>
    </w:p>
    <w:p w14:paraId="1EA5CA9A" w14:textId="77777777" w:rsidR="008E4A25" w:rsidRDefault="008E4A25" w:rsidP="008E4A25">
      <w:pPr>
        <w:pStyle w:val="NoSpacing"/>
        <w:tabs>
          <w:tab w:val="left" w:pos="2880"/>
        </w:tabs>
        <w:ind w:left="720"/>
      </w:pPr>
      <w:r>
        <w:t xml:space="preserve">Sarah Jacobson </w:t>
      </w:r>
      <w:r>
        <w:tab/>
        <w:t xml:space="preserve">Texas State Library and Archives Commission </w:t>
      </w:r>
    </w:p>
    <w:p w14:paraId="595A3D47" w14:textId="77777777" w:rsidR="008E4A25" w:rsidRDefault="008E4A25" w:rsidP="008E4A25">
      <w:pPr>
        <w:pStyle w:val="NoSpacing"/>
        <w:tabs>
          <w:tab w:val="left" w:pos="2880"/>
        </w:tabs>
        <w:ind w:left="720"/>
      </w:pPr>
      <w:r>
        <w:t xml:space="preserve">Sean Miller </w:t>
      </w:r>
      <w:r>
        <w:tab/>
        <w:t xml:space="preserve">Railroad Commission of Texas </w:t>
      </w:r>
    </w:p>
    <w:p w14:paraId="75EDA3A2" w14:textId="77777777" w:rsidR="008E4A25" w:rsidRDefault="008E4A25" w:rsidP="008E4A25">
      <w:pPr>
        <w:pStyle w:val="NoSpacing"/>
        <w:tabs>
          <w:tab w:val="left" w:pos="2880"/>
        </w:tabs>
        <w:ind w:left="720"/>
      </w:pPr>
      <w:r>
        <w:t xml:space="preserve">David Morris </w:t>
      </w:r>
      <w:r>
        <w:tab/>
        <w:t xml:space="preserve">Texas State Soil and Water Conservation Board </w:t>
      </w:r>
    </w:p>
    <w:p w14:paraId="38AB6BB2" w14:textId="77777777" w:rsidR="008E4A25" w:rsidRDefault="008E4A25" w:rsidP="008E4A25">
      <w:pPr>
        <w:pStyle w:val="NoSpacing"/>
        <w:tabs>
          <w:tab w:val="left" w:pos="2880"/>
        </w:tabs>
        <w:ind w:left="720"/>
      </w:pPr>
      <w:r>
        <w:t xml:space="preserve">Jim Nolan </w:t>
      </w:r>
      <w:r>
        <w:tab/>
        <w:t xml:space="preserve">Texas Comptroller of Public Accounts </w:t>
      </w:r>
    </w:p>
    <w:p w14:paraId="234F7098" w14:textId="77777777" w:rsidR="008E4A25" w:rsidRDefault="008E4A25" w:rsidP="008E4A25">
      <w:pPr>
        <w:pStyle w:val="NoSpacing"/>
        <w:tabs>
          <w:tab w:val="left" w:pos="2880"/>
        </w:tabs>
        <w:ind w:left="720"/>
      </w:pPr>
      <w:r>
        <w:t>Nancy Pleasant</w:t>
      </w:r>
      <w:r>
        <w:tab/>
        <w:t xml:space="preserve">Texas Comptroller of Public Accounts </w:t>
      </w:r>
    </w:p>
    <w:p w14:paraId="399F4465" w14:textId="77777777" w:rsidR="008E4A25" w:rsidRDefault="008E4A25" w:rsidP="008E4A25">
      <w:pPr>
        <w:pStyle w:val="NoSpacing"/>
        <w:tabs>
          <w:tab w:val="left" w:pos="2880"/>
        </w:tabs>
        <w:ind w:left="720"/>
      </w:pPr>
      <w:r>
        <w:t xml:space="preserve">Michael </w:t>
      </w:r>
      <w:proofErr w:type="spellStart"/>
      <w:r>
        <w:t>Reagor</w:t>
      </w:r>
      <w:proofErr w:type="spellEnd"/>
      <w:r>
        <w:tab/>
        <w:t>Texas State Library and Archives Commission</w:t>
      </w:r>
    </w:p>
    <w:p w14:paraId="2E0FB3FB" w14:textId="77777777" w:rsidR="008E4A25" w:rsidRDefault="008E4A25" w:rsidP="008E4A25">
      <w:pPr>
        <w:pStyle w:val="NoSpacing"/>
        <w:tabs>
          <w:tab w:val="left" w:pos="2880"/>
        </w:tabs>
        <w:ind w:left="720"/>
      </w:pPr>
      <w:r>
        <w:t xml:space="preserve">Laura Russell </w:t>
      </w:r>
      <w:r>
        <w:tab/>
        <w:t xml:space="preserve">Texas Parks and Wildlife Department </w:t>
      </w:r>
    </w:p>
    <w:p w14:paraId="2B785D21" w14:textId="77777777" w:rsidR="00095653" w:rsidRDefault="008E4A25" w:rsidP="008E4A25">
      <w:pPr>
        <w:pStyle w:val="NoSpacing"/>
        <w:tabs>
          <w:tab w:val="left" w:pos="2880"/>
        </w:tabs>
        <w:ind w:left="720"/>
      </w:pPr>
      <w:r>
        <w:t xml:space="preserve">Ruth Soucy </w:t>
      </w:r>
      <w:r>
        <w:tab/>
        <w:t>Texas Comptroller of Public Accounts</w:t>
      </w:r>
    </w:p>
    <w:p w14:paraId="439996A0" w14:textId="77777777" w:rsidR="008E4A25" w:rsidRDefault="008E4A25" w:rsidP="006A5942">
      <w:pPr>
        <w:pStyle w:val="NoSpacing"/>
        <w:spacing w:after="4440"/>
      </w:pPr>
    </w:p>
    <w:tbl>
      <w:tblPr>
        <w:tblStyle w:val="TableGrid"/>
        <w:tblW w:w="957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CellMar>
          <w:top w:w="72" w:type="dxa"/>
          <w:left w:w="72" w:type="dxa"/>
          <w:bottom w:w="72" w:type="dxa"/>
          <w:right w:w="72" w:type="dxa"/>
        </w:tblCellMar>
        <w:tblLook w:val="04A0" w:firstRow="1" w:lastRow="0" w:firstColumn="1" w:lastColumn="0" w:noHBand="0" w:noVBand="1"/>
        <w:tblDescription w:val="Table of Contents"/>
      </w:tblPr>
      <w:tblGrid>
        <w:gridCol w:w="9576"/>
      </w:tblGrid>
      <w:tr w:rsidR="00095653" w14:paraId="5F381D25" w14:textId="77777777" w:rsidTr="00095653">
        <w:tc>
          <w:tcPr>
            <w:tcW w:w="9576" w:type="dxa"/>
            <w:shd w:val="clear" w:color="auto" w:fill="EEF3F8"/>
          </w:tcPr>
          <w:p w14:paraId="1A14D8DB" w14:textId="77777777" w:rsidR="00FA62E4" w:rsidRDefault="00095653" w:rsidP="00A65175">
            <w:pPr>
              <w:pStyle w:val="Heading3"/>
              <w:spacing w:line="240" w:lineRule="auto"/>
              <w:outlineLvl w:val="2"/>
              <w:rPr>
                <w:noProof/>
              </w:rPr>
            </w:pPr>
            <w:bookmarkStart w:id="8" w:name="_Toc378934656"/>
            <w:r>
              <w:br/>
              <w:t>Contents</w:t>
            </w:r>
            <w:bookmarkEnd w:id="8"/>
            <w:r>
              <w:fldChar w:fldCharType="begin"/>
            </w:r>
            <w:r>
              <w:instrText xml:space="preserve"> TOC \o "2-2" \h \z \u </w:instrText>
            </w:r>
            <w:r>
              <w:fldChar w:fldCharType="separate"/>
            </w:r>
          </w:p>
          <w:p w14:paraId="2CD00A99" w14:textId="3E5CF23C" w:rsidR="00FA62E4" w:rsidRDefault="009F26C9">
            <w:pPr>
              <w:pStyle w:val="TOC2"/>
              <w:rPr>
                <w:rFonts w:eastAsiaTheme="minorEastAsia" w:cstheme="minorBidi"/>
                <w:bCs w:val="0"/>
                <w:noProof/>
                <w:color w:val="auto"/>
                <w:szCs w:val="22"/>
              </w:rPr>
            </w:pPr>
            <w:hyperlink w:anchor="_Toc518646267" w:history="1">
              <w:r w:rsidR="00FA62E4" w:rsidRPr="004C2739">
                <w:rPr>
                  <w:rStyle w:val="Hyperlink"/>
                  <w:noProof/>
                </w:rPr>
                <w:t>Acknowledgments</w:t>
              </w:r>
              <w:r w:rsidR="00FA62E4">
                <w:rPr>
                  <w:noProof/>
                  <w:webHidden/>
                </w:rPr>
                <w:tab/>
              </w:r>
              <w:r w:rsidR="00FA62E4">
                <w:rPr>
                  <w:noProof/>
                  <w:webHidden/>
                </w:rPr>
                <w:fldChar w:fldCharType="begin"/>
              </w:r>
              <w:r w:rsidR="00FA62E4">
                <w:rPr>
                  <w:noProof/>
                  <w:webHidden/>
                </w:rPr>
                <w:instrText xml:space="preserve"> PAGEREF _Toc518646267 \h </w:instrText>
              </w:r>
              <w:r w:rsidR="00FA62E4">
                <w:rPr>
                  <w:noProof/>
                  <w:webHidden/>
                </w:rPr>
              </w:r>
              <w:r w:rsidR="00FA62E4">
                <w:rPr>
                  <w:noProof/>
                  <w:webHidden/>
                </w:rPr>
                <w:fldChar w:fldCharType="separate"/>
              </w:r>
              <w:r w:rsidR="00FA62E4">
                <w:rPr>
                  <w:noProof/>
                  <w:webHidden/>
                </w:rPr>
                <w:t>2</w:t>
              </w:r>
              <w:r w:rsidR="00FA62E4">
                <w:rPr>
                  <w:noProof/>
                  <w:webHidden/>
                </w:rPr>
                <w:fldChar w:fldCharType="end"/>
              </w:r>
            </w:hyperlink>
          </w:p>
          <w:p w14:paraId="44335C89" w14:textId="30010500" w:rsidR="00FA62E4" w:rsidRDefault="009F26C9">
            <w:pPr>
              <w:pStyle w:val="TOC2"/>
              <w:rPr>
                <w:rFonts w:eastAsiaTheme="minorEastAsia" w:cstheme="minorBidi"/>
                <w:bCs w:val="0"/>
                <w:noProof/>
                <w:color w:val="auto"/>
                <w:szCs w:val="22"/>
              </w:rPr>
            </w:pPr>
            <w:hyperlink w:anchor="_Toc518646268" w:history="1">
              <w:r w:rsidR="00FA62E4" w:rsidRPr="004C2739">
                <w:rPr>
                  <w:rStyle w:val="Hyperlink"/>
                  <w:noProof/>
                </w:rPr>
                <w:t>Executive Summary</w:t>
              </w:r>
              <w:r w:rsidR="00FA62E4">
                <w:rPr>
                  <w:noProof/>
                  <w:webHidden/>
                </w:rPr>
                <w:tab/>
              </w:r>
              <w:r w:rsidR="00FA62E4">
                <w:rPr>
                  <w:noProof/>
                  <w:webHidden/>
                </w:rPr>
                <w:fldChar w:fldCharType="begin"/>
              </w:r>
              <w:r w:rsidR="00FA62E4">
                <w:rPr>
                  <w:noProof/>
                  <w:webHidden/>
                </w:rPr>
                <w:instrText xml:space="preserve"> PAGEREF _Toc518646268 \h </w:instrText>
              </w:r>
              <w:r w:rsidR="00FA62E4">
                <w:rPr>
                  <w:noProof/>
                  <w:webHidden/>
                </w:rPr>
              </w:r>
              <w:r w:rsidR="00FA62E4">
                <w:rPr>
                  <w:noProof/>
                  <w:webHidden/>
                </w:rPr>
                <w:fldChar w:fldCharType="separate"/>
              </w:r>
              <w:r w:rsidR="00FA62E4">
                <w:rPr>
                  <w:noProof/>
                  <w:webHidden/>
                </w:rPr>
                <w:t>1</w:t>
              </w:r>
              <w:r w:rsidR="00FA62E4">
                <w:rPr>
                  <w:noProof/>
                  <w:webHidden/>
                </w:rPr>
                <w:fldChar w:fldCharType="end"/>
              </w:r>
            </w:hyperlink>
          </w:p>
          <w:p w14:paraId="0171BC28" w14:textId="31B14352" w:rsidR="00FA62E4" w:rsidRDefault="009F26C9">
            <w:pPr>
              <w:pStyle w:val="TOC2"/>
              <w:rPr>
                <w:rFonts w:eastAsiaTheme="minorEastAsia" w:cstheme="minorBidi"/>
                <w:bCs w:val="0"/>
                <w:noProof/>
                <w:color w:val="auto"/>
                <w:szCs w:val="22"/>
              </w:rPr>
            </w:pPr>
            <w:hyperlink w:anchor="_Toc518646269" w:history="1">
              <w:r w:rsidR="00FA62E4" w:rsidRPr="004C2739">
                <w:rPr>
                  <w:rStyle w:val="Hyperlink"/>
                  <w:noProof/>
                </w:rPr>
                <w:t>Background</w:t>
              </w:r>
              <w:r w:rsidR="00FA62E4">
                <w:rPr>
                  <w:noProof/>
                  <w:webHidden/>
                </w:rPr>
                <w:tab/>
              </w:r>
              <w:r w:rsidR="00FA62E4">
                <w:rPr>
                  <w:noProof/>
                  <w:webHidden/>
                </w:rPr>
                <w:fldChar w:fldCharType="begin"/>
              </w:r>
              <w:r w:rsidR="00FA62E4">
                <w:rPr>
                  <w:noProof/>
                  <w:webHidden/>
                </w:rPr>
                <w:instrText xml:space="preserve"> PAGEREF _Toc518646269 \h </w:instrText>
              </w:r>
              <w:r w:rsidR="00FA62E4">
                <w:rPr>
                  <w:noProof/>
                  <w:webHidden/>
                </w:rPr>
              </w:r>
              <w:r w:rsidR="00FA62E4">
                <w:rPr>
                  <w:noProof/>
                  <w:webHidden/>
                </w:rPr>
                <w:fldChar w:fldCharType="separate"/>
              </w:r>
              <w:r w:rsidR="00FA62E4">
                <w:rPr>
                  <w:noProof/>
                  <w:webHidden/>
                </w:rPr>
                <w:t>1</w:t>
              </w:r>
              <w:r w:rsidR="00FA62E4">
                <w:rPr>
                  <w:noProof/>
                  <w:webHidden/>
                </w:rPr>
                <w:fldChar w:fldCharType="end"/>
              </w:r>
            </w:hyperlink>
          </w:p>
          <w:p w14:paraId="034BE97B" w14:textId="57200140" w:rsidR="00FA62E4" w:rsidRDefault="009F26C9">
            <w:pPr>
              <w:pStyle w:val="TOC2"/>
              <w:rPr>
                <w:rFonts w:eastAsiaTheme="minorEastAsia" w:cstheme="minorBidi"/>
                <w:bCs w:val="0"/>
                <w:noProof/>
                <w:color w:val="auto"/>
                <w:szCs w:val="22"/>
              </w:rPr>
            </w:pPr>
            <w:hyperlink w:anchor="_Toc518646270" w:history="1">
              <w:r w:rsidR="00FA62E4" w:rsidRPr="004C2739">
                <w:rPr>
                  <w:rStyle w:val="Hyperlink"/>
                  <w:noProof/>
                </w:rPr>
                <w:t>Benefits of Classifying Data</w:t>
              </w:r>
              <w:r w:rsidR="00FA62E4">
                <w:rPr>
                  <w:noProof/>
                  <w:webHidden/>
                </w:rPr>
                <w:tab/>
              </w:r>
              <w:r w:rsidR="00FA62E4">
                <w:rPr>
                  <w:noProof/>
                  <w:webHidden/>
                </w:rPr>
                <w:fldChar w:fldCharType="begin"/>
              </w:r>
              <w:r w:rsidR="00FA62E4">
                <w:rPr>
                  <w:noProof/>
                  <w:webHidden/>
                </w:rPr>
                <w:instrText xml:space="preserve"> PAGEREF _Toc518646270 \h </w:instrText>
              </w:r>
              <w:r w:rsidR="00FA62E4">
                <w:rPr>
                  <w:noProof/>
                  <w:webHidden/>
                </w:rPr>
              </w:r>
              <w:r w:rsidR="00FA62E4">
                <w:rPr>
                  <w:noProof/>
                  <w:webHidden/>
                </w:rPr>
                <w:fldChar w:fldCharType="separate"/>
              </w:r>
              <w:r w:rsidR="00FA62E4">
                <w:rPr>
                  <w:noProof/>
                  <w:webHidden/>
                </w:rPr>
                <w:t>2</w:t>
              </w:r>
              <w:r w:rsidR="00FA62E4">
                <w:rPr>
                  <w:noProof/>
                  <w:webHidden/>
                </w:rPr>
                <w:fldChar w:fldCharType="end"/>
              </w:r>
            </w:hyperlink>
          </w:p>
          <w:p w14:paraId="1248C7D7" w14:textId="486130BE" w:rsidR="00FA62E4" w:rsidRDefault="009F26C9">
            <w:pPr>
              <w:pStyle w:val="TOC2"/>
              <w:rPr>
                <w:rFonts w:eastAsiaTheme="minorEastAsia" w:cstheme="minorBidi"/>
                <w:bCs w:val="0"/>
                <w:noProof/>
                <w:color w:val="auto"/>
                <w:szCs w:val="22"/>
              </w:rPr>
            </w:pPr>
            <w:hyperlink w:anchor="_Toc518646271" w:history="1">
              <w:r w:rsidR="00FA62E4" w:rsidRPr="004C2739">
                <w:rPr>
                  <w:rStyle w:val="Hyperlink"/>
                  <w:noProof/>
                </w:rPr>
                <w:t>Proposed Solution</w:t>
              </w:r>
              <w:r w:rsidR="00FA62E4">
                <w:rPr>
                  <w:noProof/>
                  <w:webHidden/>
                </w:rPr>
                <w:tab/>
              </w:r>
              <w:r w:rsidR="00FA62E4">
                <w:rPr>
                  <w:noProof/>
                  <w:webHidden/>
                </w:rPr>
                <w:fldChar w:fldCharType="begin"/>
              </w:r>
              <w:r w:rsidR="00FA62E4">
                <w:rPr>
                  <w:noProof/>
                  <w:webHidden/>
                </w:rPr>
                <w:instrText xml:space="preserve"> PAGEREF _Toc518646271 \h </w:instrText>
              </w:r>
              <w:r w:rsidR="00FA62E4">
                <w:rPr>
                  <w:noProof/>
                  <w:webHidden/>
                </w:rPr>
              </w:r>
              <w:r w:rsidR="00FA62E4">
                <w:rPr>
                  <w:noProof/>
                  <w:webHidden/>
                </w:rPr>
                <w:fldChar w:fldCharType="separate"/>
              </w:r>
              <w:r w:rsidR="00FA62E4">
                <w:rPr>
                  <w:noProof/>
                  <w:webHidden/>
                </w:rPr>
                <w:t>3</w:t>
              </w:r>
              <w:r w:rsidR="00FA62E4">
                <w:rPr>
                  <w:noProof/>
                  <w:webHidden/>
                </w:rPr>
                <w:fldChar w:fldCharType="end"/>
              </w:r>
            </w:hyperlink>
          </w:p>
          <w:p w14:paraId="0D272BE8" w14:textId="12A606A0" w:rsidR="00FA62E4" w:rsidRDefault="009F26C9">
            <w:pPr>
              <w:pStyle w:val="TOC2"/>
              <w:rPr>
                <w:rFonts w:eastAsiaTheme="minorEastAsia" w:cstheme="minorBidi"/>
                <w:bCs w:val="0"/>
                <w:noProof/>
                <w:color w:val="auto"/>
                <w:szCs w:val="22"/>
              </w:rPr>
            </w:pPr>
            <w:hyperlink w:anchor="_Toc518646272" w:history="1">
              <w:r w:rsidR="00FA62E4" w:rsidRPr="004C2739">
                <w:rPr>
                  <w:rStyle w:val="Hyperlink"/>
                  <w:noProof/>
                </w:rPr>
                <w:t>Sample Security Controls</w:t>
              </w:r>
              <w:r w:rsidR="00FA62E4">
                <w:rPr>
                  <w:noProof/>
                  <w:webHidden/>
                </w:rPr>
                <w:tab/>
              </w:r>
              <w:r w:rsidR="00FA62E4">
                <w:rPr>
                  <w:noProof/>
                  <w:webHidden/>
                </w:rPr>
                <w:fldChar w:fldCharType="begin"/>
              </w:r>
              <w:r w:rsidR="00FA62E4">
                <w:rPr>
                  <w:noProof/>
                  <w:webHidden/>
                </w:rPr>
                <w:instrText xml:space="preserve"> PAGEREF _Toc518646272 \h </w:instrText>
              </w:r>
              <w:r w:rsidR="00FA62E4">
                <w:rPr>
                  <w:noProof/>
                  <w:webHidden/>
                </w:rPr>
              </w:r>
              <w:r w:rsidR="00FA62E4">
                <w:rPr>
                  <w:noProof/>
                  <w:webHidden/>
                </w:rPr>
                <w:fldChar w:fldCharType="separate"/>
              </w:r>
              <w:r w:rsidR="00FA62E4">
                <w:rPr>
                  <w:noProof/>
                  <w:webHidden/>
                </w:rPr>
                <w:t>4</w:t>
              </w:r>
              <w:r w:rsidR="00FA62E4">
                <w:rPr>
                  <w:noProof/>
                  <w:webHidden/>
                </w:rPr>
                <w:fldChar w:fldCharType="end"/>
              </w:r>
            </w:hyperlink>
          </w:p>
          <w:p w14:paraId="32CC0F3A" w14:textId="7AD5495C" w:rsidR="00FA62E4" w:rsidRDefault="009F26C9">
            <w:pPr>
              <w:pStyle w:val="TOC2"/>
              <w:rPr>
                <w:rFonts w:eastAsiaTheme="minorEastAsia" w:cstheme="minorBidi"/>
                <w:bCs w:val="0"/>
                <w:noProof/>
                <w:color w:val="auto"/>
                <w:szCs w:val="22"/>
              </w:rPr>
            </w:pPr>
            <w:hyperlink w:anchor="_Toc518646273" w:history="1">
              <w:r w:rsidR="00FA62E4" w:rsidRPr="004C2739">
                <w:rPr>
                  <w:rStyle w:val="Hyperlink"/>
                  <w:noProof/>
                </w:rPr>
                <w:t>Implementation Guidance</w:t>
              </w:r>
              <w:r w:rsidR="00FA62E4">
                <w:rPr>
                  <w:noProof/>
                  <w:webHidden/>
                </w:rPr>
                <w:tab/>
              </w:r>
              <w:r w:rsidR="00FA62E4">
                <w:rPr>
                  <w:noProof/>
                  <w:webHidden/>
                </w:rPr>
                <w:fldChar w:fldCharType="begin"/>
              </w:r>
              <w:r w:rsidR="00FA62E4">
                <w:rPr>
                  <w:noProof/>
                  <w:webHidden/>
                </w:rPr>
                <w:instrText xml:space="preserve"> PAGEREF _Toc518646273 \h </w:instrText>
              </w:r>
              <w:r w:rsidR="00FA62E4">
                <w:rPr>
                  <w:noProof/>
                  <w:webHidden/>
                </w:rPr>
              </w:r>
              <w:r w:rsidR="00FA62E4">
                <w:rPr>
                  <w:noProof/>
                  <w:webHidden/>
                </w:rPr>
                <w:fldChar w:fldCharType="separate"/>
              </w:r>
              <w:r w:rsidR="00FA62E4">
                <w:rPr>
                  <w:noProof/>
                  <w:webHidden/>
                </w:rPr>
                <w:t>4</w:t>
              </w:r>
              <w:r w:rsidR="00FA62E4">
                <w:rPr>
                  <w:noProof/>
                  <w:webHidden/>
                </w:rPr>
                <w:fldChar w:fldCharType="end"/>
              </w:r>
            </w:hyperlink>
          </w:p>
          <w:p w14:paraId="5970FF25" w14:textId="6C2BD21F" w:rsidR="00FA62E4" w:rsidRDefault="009F26C9">
            <w:pPr>
              <w:pStyle w:val="TOC2"/>
              <w:rPr>
                <w:rFonts w:eastAsiaTheme="minorEastAsia" w:cstheme="minorBidi"/>
                <w:bCs w:val="0"/>
                <w:noProof/>
                <w:color w:val="auto"/>
                <w:szCs w:val="22"/>
              </w:rPr>
            </w:pPr>
            <w:hyperlink w:anchor="_Toc518646274" w:history="1">
              <w:r w:rsidR="00FA62E4" w:rsidRPr="004C2739">
                <w:rPr>
                  <w:rStyle w:val="Hyperlink"/>
                  <w:noProof/>
                </w:rPr>
                <w:t>Proposed Data Classification Taxonomy</w:t>
              </w:r>
              <w:r w:rsidR="00FA62E4">
                <w:rPr>
                  <w:noProof/>
                  <w:webHidden/>
                </w:rPr>
                <w:tab/>
              </w:r>
              <w:r w:rsidR="00FA62E4">
                <w:rPr>
                  <w:noProof/>
                  <w:webHidden/>
                </w:rPr>
                <w:fldChar w:fldCharType="begin"/>
              </w:r>
              <w:r w:rsidR="00FA62E4">
                <w:rPr>
                  <w:noProof/>
                  <w:webHidden/>
                </w:rPr>
                <w:instrText xml:space="preserve"> PAGEREF _Toc518646274 \h </w:instrText>
              </w:r>
              <w:r w:rsidR="00FA62E4">
                <w:rPr>
                  <w:noProof/>
                  <w:webHidden/>
                </w:rPr>
              </w:r>
              <w:r w:rsidR="00FA62E4">
                <w:rPr>
                  <w:noProof/>
                  <w:webHidden/>
                </w:rPr>
                <w:fldChar w:fldCharType="separate"/>
              </w:r>
              <w:r w:rsidR="00FA62E4">
                <w:rPr>
                  <w:noProof/>
                  <w:webHidden/>
                </w:rPr>
                <w:t>4</w:t>
              </w:r>
              <w:r w:rsidR="00FA62E4">
                <w:rPr>
                  <w:noProof/>
                  <w:webHidden/>
                </w:rPr>
                <w:fldChar w:fldCharType="end"/>
              </w:r>
            </w:hyperlink>
          </w:p>
          <w:p w14:paraId="5EF9132E" w14:textId="52E3AF9A" w:rsidR="00FA62E4" w:rsidRDefault="009F26C9">
            <w:pPr>
              <w:pStyle w:val="TOC2"/>
              <w:rPr>
                <w:rFonts w:eastAsiaTheme="minorEastAsia" w:cstheme="minorBidi"/>
                <w:bCs w:val="0"/>
                <w:noProof/>
                <w:color w:val="auto"/>
                <w:szCs w:val="22"/>
              </w:rPr>
            </w:pPr>
            <w:hyperlink w:anchor="_Toc518646275" w:history="1">
              <w:r w:rsidR="00FA62E4" w:rsidRPr="004C2739">
                <w:rPr>
                  <w:rStyle w:val="Hyperlink"/>
                  <w:noProof/>
                </w:rPr>
                <w:t>Version History</w:t>
              </w:r>
              <w:r w:rsidR="00FA62E4">
                <w:rPr>
                  <w:noProof/>
                  <w:webHidden/>
                </w:rPr>
                <w:tab/>
              </w:r>
              <w:r w:rsidR="00FA62E4">
                <w:rPr>
                  <w:noProof/>
                  <w:webHidden/>
                </w:rPr>
                <w:fldChar w:fldCharType="begin"/>
              </w:r>
              <w:r w:rsidR="00FA62E4">
                <w:rPr>
                  <w:noProof/>
                  <w:webHidden/>
                </w:rPr>
                <w:instrText xml:space="preserve"> PAGEREF _Toc518646275 \h </w:instrText>
              </w:r>
              <w:r w:rsidR="00FA62E4">
                <w:rPr>
                  <w:noProof/>
                  <w:webHidden/>
                </w:rPr>
              </w:r>
              <w:r w:rsidR="00FA62E4">
                <w:rPr>
                  <w:noProof/>
                  <w:webHidden/>
                </w:rPr>
                <w:fldChar w:fldCharType="separate"/>
              </w:r>
              <w:r w:rsidR="00FA62E4">
                <w:rPr>
                  <w:noProof/>
                  <w:webHidden/>
                </w:rPr>
                <w:t>5</w:t>
              </w:r>
              <w:r w:rsidR="00FA62E4">
                <w:rPr>
                  <w:noProof/>
                  <w:webHidden/>
                </w:rPr>
                <w:fldChar w:fldCharType="end"/>
              </w:r>
            </w:hyperlink>
          </w:p>
          <w:p w14:paraId="473F3745" w14:textId="77777777" w:rsidR="00095653" w:rsidRDefault="00095653" w:rsidP="00A305C4">
            <w:pPr>
              <w:spacing w:line="240" w:lineRule="auto"/>
              <w:ind w:left="0"/>
            </w:pPr>
            <w:r>
              <w:fldChar w:fldCharType="end"/>
            </w:r>
          </w:p>
        </w:tc>
      </w:tr>
    </w:tbl>
    <w:p w14:paraId="06C2EE6F" w14:textId="77777777" w:rsidR="00425BD7" w:rsidRPr="00B045B7" w:rsidRDefault="00425BD7" w:rsidP="00A305C4">
      <w:pPr>
        <w:spacing w:after="0"/>
      </w:pPr>
    </w:p>
    <w:p w14:paraId="7F41D191" w14:textId="77777777" w:rsidR="004768D5" w:rsidRDefault="004768D5" w:rsidP="00A305C4">
      <w:pPr>
        <w:pStyle w:val="Table1"/>
        <w:sectPr w:rsidR="004768D5" w:rsidSect="00095653">
          <w:footerReference w:type="default" r:id="rId12"/>
          <w:pgSz w:w="12240" w:h="15840"/>
          <w:pgMar w:top="1440" w:right="1440" w:bottom="1440" w:left="1440" w:header="720" w:footer="720" w:gutter="0"/>
          <w:pgNumType w:start="1"/>
          <w:cols w:space="720"/>
          <w:docGrid w:linePitch="360"/>
        </w:sectPr>
      </w:pPr>
    </w:p>
    <w:p w14:paraId="1B119F30" w14:textId="77777777" w:rsidR="00895C04" w:rsidRDefault="00895C04" w:rsidP="00AE6E59">
      <w:pPr>
        <w:pStyle w:val="Heading2"/>
      </w:pPr>
      <w:bookmarkStart w:id="9" w:name="_Toc518646268"/>
      <w:bookmarkStart w:id="10" w:name="_Toc378775346"/>
      <w:r>
        <w:lastRenderedPageBreak/>
        <w:t>Executive Summary</w:t>
      </w:r>
      <w:bookmarkEnd w:id="9"/>
    </w:p>
    <w:p w14:paraId="0E14C37D" w14:textId="48ABB289" w:rsidR="00895C04" w:rsidRPr="00804BD2" w:rsidRDefault="00895C04" w:rsidP="00895C04">
      <w:r w:rsidRPr="00804BD2">
        <w:t xml:space="preserve">Data classification is the </w:t>
      </w:r>
      <w:r w:rsidR="00265DBD">
        <w:t>process</w:t>
      </w:r>
      <w:r w:rsidR="00265DBD" w:rsidRPr="00804BD2">
        <w:t xml:space="preserve"> </w:t>
      </w:r>
      <w:r w:rsidRPr="00804BD2">
        <w:t xml:space="preserve">of </w:t>
      </w:r>
      <w:r w:rsidR="00754FA7">
        <w:t>categorizing data into various types, forms, sensitivity level</w:t>
      </w:r>
      <w:r w:rsidR="0088219B">
        <w:t xml:space="preserve">, or any other </w:t>
      </w:r>
      <w:r w:rsidR="003E2679">
        <w:t>grouping of similar characteristics</w:t>
      </w:r>
      <w:r w:rsidRPr="00804BD2">
        <w:t>.</w:t>
      </w:r>
      <w:r w:rsidR="006A5942">
        <w:t xml:space="preserve"> </w:t>
      </w:r>
      <w:r w:rsidRPr="00804BD2">
        <w:t xml:space="preserve">When a piece of information (e.g., a document, memo, or customer record) is created, the owner assigns a </w:t>
      </w:r>
      <w:r w:rsidR="00954E92">
        <w:t xml:space="preserve">standard </w:t>
      </w:r>
      <w:r w:rsidRPr="00804BD2">
        <w:t xml:space="preserve">classification level </w:t>
      </w:r>
      <w:r w:rsidR="00954E92" w:rsidRPr="00804BD2">
        <w:t>which defines</w:t>
      </w:r>
      <w:r w:rsidRPr="00804BD2">
        <w:t xml:space="preserve"> the </w:t>
      </w:r>
      <w:r w:rsidR="00AD57BC">
        <w:t xml:space="preserve">prescribed </w:t>
      </w:r>
      <w:r w:rsidRPr="00804BD2">
        <w:t>handling requirements for that piece of information</w:t>
      </w:r>
      <w:r w:rsidR="00954E92">
        <w:t>, among other things</w:t>
      </w:r>
      <w:r w:rsidRPr="00804BD2">
        <w:t>.</w:t>
      </w:r>
      <w:r w:rsidR="006A5942">
        <w:t xml:space="preserve"> </w:t>
      </w:r>
      <w:r w:rsidRPr="00804BD2">
        <w:t xml:space="preserve">Such </w:t>
      </w:r>
      <w:r w:rsidRPr="004677C9">
        <w:t xml:space="preserve">categories dictate the controls </w:t>
      </w:r>
      <w:r>
        <w:t xml:space="preserve">necessary </w:t>
      </w:r>
      <w:r w:rsidRPr="004677C9">
        <w:t xml:space="preserve">to </w:t>
      </w:r>
      <w:r w:rsidR="00BE20C3">
        <w:t xml:space="preserve">best </w:t>
      </w:r>
      <w:r w:rsidRPr="004677C9">
        <w:t xml:space="preserve">protect </w:t>
      </w:r>
      <w:r w:rsidR="00954E92">
        <w:t>the confidentiality, integrity, and availability of the data.</w:t>
      </w:r>
      <w:r w:rsidR="006A5942">
        <w:t xml:space="preserve"> </w:t>
      </w:r>
    </w:p>
    <w:p w14:paraId="4D9C5E16" w14:textId="1DB2FFF4" w:rsidR="00895C04" w:rsidRPr="00804BD2" w:rsidRDefault="00A62B20" w:rsidP="00895C04">
      <w:r>
        <w:t>Data classification</w:t>
      </w:r>
      <w:r w:rsidR="00895C04" w:rsidRPr="00804BD2">
        <w:t xml:space="preserve"> makes securing data much more efficient, because it instantly identifies and communicates the </w:t>
      </w:r>
      <w:r w:rsidR="00940483">
        <w:t xml:space="preserve">minimum </w:t>
      </w:r>
      <w:r w:rsidR="00895C04" w:rsidRPr="00804BD2">
        <w:t xml:space="preserve">level of protection required for any piece of data as well as the audience that may view it. For example, a document that is classified as "confidential" is easily understood to require additional protections and controls. </w:t>
      </w:r>
    </w:p>
    <w:p w14:paraId="02D25D5E" w14:textId="561BB27B" w:rsidR="00895C04" w:rsidRPr="00804BD2" w:rsidRDefault="00895C04" w:rsidP="00895C04">
      <w:r w:rsidRPr="00804BD2">
        <w:t>The Office of the Chi</w:t>
      </w:r>
      <w:r>
        <w:t xml:space="preserve">ef Information Security Officer </w:t>
      </w:r>
      <w:r w:rsidRPr="00804BD2">
        <w:t xml:space="preserve">at the Texas Department of Information Resources </w:t>
      </w:r>
      <w:r>
        <w:t xml:space="preserve">(DIR) </w:t>
      </w:r>
      <w:r w:rsidRPr="00804BD2">
        <w:t>worked with a taskforce of agency stakeholders to develop a model data classification taxonomy for state agencies and institutes of higher education.</w:t>
      </w:r>
      <w:r w:rsidR="006A5942">
        <w:t xml:space="preserve"> </w:t>
      </w:r>
      <w:r w:rsidRPr="00804BD2">
        <w:t>The classification scheme is detailed separately</w:t>
      </w:r>
      <w:r w:rsidR="00940483">
        <w:t xml:space="preserve"> from this guidance document</w:t>
      </w:r>
      <w:r w:rsidRPr="00804BD2">
        <w:t>.</w:t>
      </w:r>
      <w:r w:rsidR="006A5942">
        <w:t xml:space="preserve"> </w:t>
      </w:r>
      <w:r w:rsidRPr="00804BD2">
        <w:t xml:space="preserve">This document is meant to present the background, underlying assumptions, and </w:t>
      </w:r>
      <w:r w:rsidR="00940483">
        <w:t>logic</w:t>
      </w:r>
      <w:r w:rsidR="00940483" w:rsidRPr="00804BD2">
        <w:t xml:space="preserve"> </w:t>
      </w:r>
      <w:r w:rsidRPr="00804BD2">
        <w:t>behind the decisions the taskforce made in arriving at this model.</w:t>
      </w:r>
    </w:p>
    <w:p w14:paraId="5B549DCA" w14:textId="77777777" w:rsidR="00895C04" w:rsidRDefault="00895C04" w:rsidP="00AE6E59">
      <w:pPr>
        <w:pStyle w:val="Heading2"/>
      </w:pPr>
      <w:bookmarkStart w:id="11" w:name="_Toc376876712"/>
      <w:bookmarkStart w:id="12" w:name="_Toc518646269"/>
      <w:r w:rsidRPr="00AE6E59">
        <w:t>Background</w:t>
      </w:r>
      <w:bookmarkEnd w:id="11"/>
      <w:bookmarkEnd w:id="12"/>
    </w:p>
    <w:p w14:paraId="58362287" w14:textId="61E0B80E" w:rsidR="00895C04" w:rsidRDefault="00895C04" w:rsidP="00895C04">
      <w:r>
        <w:t>Texas Administrative Code</w:t>
      </w:r>
      <w:r w:rsidR="006A5942">
        <w:t xml:space="preserve"> (TAC) </w:t>
      </w:r>
      <w:r w:rsidR="6BF377BD">
        <w:t xml:space="preserve">Chapter 202 </w:t>
      </w:r>
      <w:r w:rsidR="006A5942">
        <w:t xml:space="preserve">requires all agencies and </w:t>
      </w:r>
      <w:r w:rsidR="004562B6">
        <w:t xml:space="preserve">institutions </w:t>
      </w:r>
      <w:r w:rsidR="006A5942">
        <w:t>of higher education to classify their data.</w:t>
      </w:r>
      <w:r>
        <w:rPr>
          <w:rStyle w:val="FootnoteReference"/>
          <w:rFonts w:ascii="Times New Roman" w:eastAsia="Times New Roman" w:hAnsi="Times New Roman" w:cs="Times New Roman"/>
          <w:sz w:val="24"/>
          <w:szCs w:val="24"/>
        </w:rPr>
        <w:footnoteReference w:id="1"/>
      </w:r>
      <w:r w:rsidR="006A5942" w:rsidRPr="55F864F4">
        <w:t xml:space="preserve"> </w:t>
      </w:r>
      <w:r w:rsidR="00040F75">
        <w:t xml:space="preserve">However, </w:t>
      </w:r>
      <w:r>
        <w:t xml:space="preserve">TAC </w:t>
      </w:r>
      <w:r w:rsidR="6BF377BD">
        <w:t>202</w:t>
      </w:r>
      <w:r w:rsidR="6BF377BD" w:rsidRPr="55F864F4">
        <w:t xml:space="preserve"> </w:t>
      </w:r>
      <w:r>
        <w:t xml:space="preserve">does not </w:t>
      </w:r>
      <w:r w:rsidR="00040F75">
        <w:t xml:space="preserve">explicitly </w:t>
      </w:r>
      <w:r>
        <w:t>define classification levels beyond the “confidential” category</w:t>
      </w:r>
      <w:r w:rsidR="004C5C0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
      </w:r>
      <w:r w:rsidRPr="55F864F4">
        <w:t xml:space="preserve"> </w:t>
      </w:r>
      <w:r w:rsidR="0096022B">
        <w:t xml:space="preserve">The lack of standardization in data classification schemes </w:t>
      </w:r>
      <w:r w:rsidR="00E52E49">
        <w:t>across the state creates challenges</w:t>
      </w:r>
      <w:r w:rsidR="00756B18">
        <w:t xml:space="preserve"> such as inefficiency in communications, discrepancies in controls applied</w:t>
      </w:r>
      <w:r w:rsidR="004562B6">
        <w:t xml:space="preserve"> between agencies, and in </w:t>
      </w:r>
      <w:r w:rsidR="001947B0">
        <w:t>rare</w:t>
      </w:r>
      <w:r w:rsidR="004562B6">
        <w:t xml:space="preserve"> cases, a negl</w:t>
      </w:r>
      <w:r w:rsidR="00B855DC">
        <w:t>ect to implement data classification policies and procedures entirely.</w:t>
      </w:r>
      <w:r w:rsidR="002D3102" w:rsidRPr="55F864F4">
        <w:t xml:space="preserve"> </w:t>
      </w:r>
      <w:r w:rsidR="00AF0A6F">
        <w:t>To</w:t>
      </w:r>
      <w:r w:rsidR="002D3102">
        <w:t xml:space="preserve"> address these challenges, the Office of the </w:t>
      </w:r>
      <w:r w:rsidR="00A803BA">
        <w:t>Chief Information Security Officer</w:t>
      </w:r>
      <w:r w:rsidR="00ED5B78">
        <w:t xml:space="preserve"> (OCISO)</w:t>
      </w:r>
      <w:r w:rsidR="00A803BA">
        <w:t xml:space="preserve"> worked with representatives from multiple state agencies to develop a baseline data classification scheme that can be adopted and modified to meet the varying needs of agencies and institutions of higher education. </w:t>
      </w:r>
    </w:p>
    <w:p w14:paraId="7A1E3F3B" w14:textId="4D1EE4AE" w:rsidR="00895C04" w:rsidRDefault="00895C04" w:rsidP="00895C04">
      <w:r>
        <w:t>Based on the experience of these representatives and their understanding of security standards and best practices, the OCISO proposes a simple classification scheme for all agencies to consider.</w:t>
      </w:r>
      <w:r w:rsidR="006A5942" w:rsidRPr="5EC023B5">
        <w:t xml:space="preserve"> </w:t>
      </w:r>
      <w:r>
        <w:t xml:space="preserve">The representatives based their </w:t>
      </w:r>
      <w:r w:rsidR="00225AB3">
        <w:t>classification scheme</w:t>
      </w:r>
      <w:r w:rsidR="00225AB3" w:rsidRPr="5EC023B5">
        <w:t xml:space="preserve"> </w:t>
      </w:r>
      <w:r>
        <w:t xml:space="preserve">on current </w:t>
      </w:r>
      <w:r w:rsidRPr="00473556">
        <w:t xml:space="preserve">Texas law, both </w:t>
      </w:r>
      <w:r w:rsidR="004C5C06" w:rsidRPr="00473556">
        <w:t xml:space="preserve">1 </w:t>
      </w:r>
      <w:r w:rsidRPr="00473556">
        <w:t>TAC 202</w:t>
      </w:r>
      <w:r>
        <w:t xml:space="preserve"> and the </w:t>
      </w:r>
      <w:bookmarkStart w:id="13" w:name="_GoBack"/>
      <w:bookmarkEnd w:id="13"/>
      <w:r>
        <w:lastRenderedPageBreak/>
        <w:t>Public Information Act, as well as the relevant federal standards (FIPS 199, NIST SP 800-59 and 800-60</w:t>
      </w:r>
      <w:r w:rsidR="00473556" w:rsidRPr="5EC023B5">
        <w:t>)</w:t>
      </w:r>
      <w:r w:rsidRPr="5EC023B5">
        <w:t>.</w:t>
      </w:r>
    </w:p>
    <w:tbl>
      <w:tblPr>
        <w:tblStyle w:val="TableGrid"/>
        <w:tblW w:w="9221" w:type="dxa"/>
        <w:tblInd w:w="355" w:type="dxa"/>
        <w:tblLayout w:type="fixed"/>
        <w:tblCellMar>
          <w:top w:w="144" w:type="dxa"/>
          <w:left w:w="216" w:type="dxa"/>
          <w:bottom w:w="144" w:type="dxa"/>
          <w:right w:w="216" w:type="dxa"/>
        </w:tblCellMar>
        <w:tblLook w:val="04A0" w:firstRow="1" w:lastRow="0" w:firstColumn="1" w:lastColumn="0" w:noHBand="0" w:noVBand="1"/>
        <w:tblDescription w:val="Completed templates should be submitted to DIR by October 15, 2014, through the Texas Information Security and Analysis Center (TX-ISAC) portal or through encrypted email. "/>
      </w:tblPr>
      <w:tblGrid>
        <w:gridCol w:w="9221"/>
      </w:tblGrid>
      <w:tr w:rsidR="00463ECF" w14:paraId="671E5283" w14:textId="77777777" w:rsidTr="00277E10">
        <w:tc>
          <w:tcPr>
            <w:tcW w:w="9221" w:type="dxa"/>
            <w:tcBorders>
              <w:top w:val="single" w:sz="4" w:space="0" w:color="FFFFFF" w:themeColor="background1" w:themeTint="00" w:themeShade="7F"/>
              <w:left w:val="single" w:sz="4" w:space="0" w:color="FFFFFF" w:themeColor="background1" w:themeTint="00" w:themeShade="7F"/>
              <w:bottom w:val="single" w:sz="4" w:space="0" w:color="FFFFFF" w:themeColor="background1" w:themeTint="00" w:themeShade="7F"/>
              <w:right w:val="single" w:sz="4" w:space="0" w:color="FFFFFF" w:themeColor="background1" w:themeTint="00" w:themeShade="7F"/>
            </w:tcBorders>
          </w:tcPr>
          <w:p w14:paraId="756CB9BC" w14:textId="2053E0BA" w:rsidR="00463ECF" w:rsidRDefault="00463ECF" w:rsidP="00473556">
            <w:pPr>
              <w:spacing w:before="100" w:line="360" w:lineRule="auto"/>
              <w:ind w:left="0"/>
            </w:pPr>
            <w:r w:rsidRPr="005E1B65">
              <w:t xml:space="preserve">The labels used in this </w:t>
            </w:r>
            <w:r w:rsidR="004C5C06" w:rsidRPr="001C6DFE">
              <w:t>data classification scheme</w:t>
            </w:r>
            <w:r w:rsidR="004C5C06">
              <w:t xml:space="preserve"> </w:t>
            </w:r>
            <w:r w:rsidRPr="005E1B65">
              <w:t>are in no way meant to subvert, contradict, supplant</w:t>
            </w:r>
            <w:r>
              <w:t>,</w:t>
            </w:r>
            <w:r w:rsidRPr="005E1B65">
              <w:t xml:space="preserve"> or conflict with the </w:t>
            </w:r>
            <w:r w:rsidR="009511AE">
              <w:t xml:space="preserve">Texas </w:t>
            </w:r>
            <w:r w:rsidRPr="005E1B65">
              <w:t>Public Information</w:t>
            </w:r>
            <w:r>
              <w:t xml:space="preserve"> Act.</w:t>
            </w:r>
            <w:r w:rsidR="006A5942">
              <w:t xml:space="preserve"> </w:t>
            </w:r>
            <w:r>
              <w:t xml:space="preserve">In all cases, the </w:t>
            </w:r>
            <w:r w:rsidRPr="005E1B65">
              <w:t xml:space="preserve">public </w:t>
            </w:r>
            <w:r>
              <w:t>release</w:t>
            </w:r>
            <w:r w:rsidRPr="005E1B65">
              <w:t xml:space="preserve"> of agency data is governed by the</w:t>
            </w:r>
            <w:r w:rsidR="009511AE">
              <w:t xml:space="preserve"> Texas Public Information</w:t>
            </w:r>
            <w:r w:rsidRPr="005E1B65">
              <w:t xml:space="preserve"> </w:t>
            </w:r>
            <w:r>
              <w:t>Act</w:t>
            </w:r>
            <w:r w:rsidR="005E35E6">
              <w:t xml:space="preserve"> and Chapter 552, Texas Government Code</w:t>
            </w:r>
            <w:r w:rsidRPr="005E1B65">
              <w:t>.</w:t>
            </w:r>
            <w:r w:rsidR="006A5942">
              <w:t xml:space="preserve"> </w:t>
            </w:r>
            <w:r w:rsidRPr="005E1B65">
              <w:t>Th</w:t>
            </w:r>
            <w:r w:rsidR="001C6DFE">
              <w:t>e</w:t>
            </w:r>
            <w:r w:rsidRPr="005E1B65">
              <w:t xml:space="preserve"> </w:t>
            </w:r>
            <w:r w:rsidR="001C6DFE">
              <w:t xml:space="preserve">data </w:t>
            </w:r>
            <w:r w:rsidR="004C5C06" w:rsidRPr="001C6DFE">
              <w:t>classification scheme</w:t>
            </w:r>
            <w:r w:rsidRPr="005E1B65">
              <w:t xml:space="preserve"> </w:t>
            </w:r>
            <w:r w:rsidR="001C6DFE">
              <w:t xml:space="preserve">presented in this guide </w:t>
            </w:r>
            <w:r w:rsidRPr="005E1B65">
              <w:t xml:space="preserve">is </w:t>
            </w:r>
            <w:r w:rsidR="004F6E92">
              <w:t>intended to be</w:t>
            </w:r>
            <w:r w:rsidR="004F6E92" w:rsidRPr="005E1B65">
              <w:t xml:space="preserve"> </w:t>
            </w:r>
            <w:r w:rsidRPr="005E1B65">
              <w:t xml:space="preserve">a means to </w:t>
            </w:r>
            <w:r w:rsidR="002C588F">
              <w:t xml:space="preserve">identify and </w:t>
            </w:r>
            <w:r>
              <w:t>address the safeguards, precautions, and handling requirements necessary to prevent accidental data disclosure.</w:t>
            </w:r>
            <w:r w:rsidR="002C588F">
              <w:t xml:space="preserve">  </w:t>
            </w:r>
          </w:p>
        </w:tc>
      </w:tr>
    </w:tbl>
    <w:p w14:paraId="1150571D" w14:textId="77777777" w:rsidR="00463ECF" w:rsidRDefault="00463ECF" w:rsidP="00895C04"/>
    <w:p w14:paraId="522AC01C" w14:textId="77777777" w:rsidR="00895C04" w:rsidRDefault="00895C04" w:rsidP="00AE6E59">
      <w:pPr>
        <w:pStyle w:val="Heading2"/>
      </w:pPr>
      <w:bookmarkStart w:id="14" w:name="_Toc376876713"/>
      <w:bookmarkStart w:id="15" w:name="_Toc518646270"/>
      <w:r>
        <w:t>Benefits of Classifying Data</w:t>
      </w:r>
      <w:bookmarkEnd w:id="14"/>
      <w:bookmarkEnd w:id="15"/>
    </w:p>
    <w:p w14:paraId="398A0D74" w14:textId="4CE10866" w:rsidR="005D0920" w:rsidRDefault="00895C04" w:rsidP="55F864F4">
      <w:r w:rsidRPr="005E1B65">
        <w:t>Data classification is the basis for identifying an initial baseline set of security controls for information and information systems</w:t>
      </w:r>
      <w:r>
        <w:t xml:space="preserve">, which </w:t>
      </w:r>
      <w:r w:rsidR="00D7264F">
        <w:t>creates</w:t>
      </w:r>
      <w:r w:rsidR="00590E15">
        <w:t xml:space="preserve"> </w:t>
      </w:r>
      <w:r>
        <w:t>numerous benefits</w:t>
      </w:r>
      <w:r w:rsidR="0065676D">
        <w:t xml:space="preserve"> for the organization</w:t>
      </w:r>
      <w:r>
        <w:t>.</w:t>
      </w:r>
      <w:r w:rsidR="006A5942">
        <w:t xml:space="preserve"> </w:t>
      </w:r>
    </w:p>
    <w:p w14:paraId="4D18E470" w14:textId="10A44557" w:rsidR="00895C04" w:rsidRPr="005E1B65" w:rsidRDefault="00FE4F30" w:rsidP="00590E15">
      <w:r>
        <w:t>Effectively</w:t>
      </w:r>
      <w:r w:rsidR="007512A9">
        <w:t xml:space="preserve"> classifying </w:t>
      </w:r>
      <w:r w:rsidR="00895C04" w:rsidRPr="005E1B65">
        <w:t xml:space="preserve">data makes security decisions more efficient for employees, data owners, and IT staff, because it instantly identifies and communicates the level of protection required for any piece of data </w:t>
      </w:r>
      <w:r>
        <w:t xml:space="preserve">and who can </w:t>
      </w:r>
      <w:r w:rsidR="00D7264F">
        <w:t>access it</w:t>
      </w:r>
      <w:r w:rsidR="00895C04" w:rsidRPr="005E1B65">
        <w:t>.</w:t>
      </w:r>
      <w:r w:rsidR="006A5942">
        <w:t xml:space="preserve"> </w:t>
      </w:r>
      <w:r w:rsidR="00895C04" w:rsidRPr="005E1B65">
        <w:t xml:space="preserve">Establishing a common statewide vernacular </w:t>
      </w:r>
      <w:r w:rsidR="0003750D">
        <w:t>can further amplify</w:t>
      </w:r>
      <w:r w:rsidR="0003750D" w:rsidRPr="005E1B65">
        <w:t xml:space="preserve"> </w:t>
      </w:r>
      <w:r w:rsidR="00895C04" w:rsidRPr="005E1B65">
        <w:t>this efficiency</w:t>
      </w:r>
      <w:r w:rsidR="00AD3237">
        <w:t xml:space="preserve"> through clear</w:t>
      </w:r>
      <w:r w:rsidR="00205DA5">
        <w:t xml:space="preserve"> and</w:t>
      </w:r>
      <w:r w:rsidR="00AD3237">
        <w:t xml:space="preserve"> non-ambiguous communication.</w:t>
      </w:r>
    </w:p>
    <w:p w14:paraId="537B875F" w14:textId="527921B6" w:rsidR="00430C05" w:rsidRPr="005E1B65" w:rsidRDefault="001F2E8F" w:rsidP="5EC023B5">
      <w:r>
        <w:t>Appropriate data classification can also enable a</w:t>
      </w:r>
      <w:r w:rsidR="00895C04" w:rsidRPr="005E1B65">
        <w:t xml:space="preserve"> more efficient use of IT capital.</w:t>
      </w:r>
      <w:r w:rsidR="006A5942" w:rsidRPr="5EC023B5">
        <w:t xml:space="preserve"> </w:t>
      </w:r>
      <w:r w:rsidR="00895C04" w:rsidRPr="005E1B65">
        <w:t xml:space="preserve">Specifically, </w:t>
      </w:r>
      <w:r>
        <w:t xml:space="preserve">data that </w:t>
      </w:r>
      <w:r w:rsidR="0027675B">
        <w:t xml:space="preserve">has been categorized at a level </w:t>
      </w:r>
      <w:r w:rsidR="00DA463C">
        <w:t>requiring</w:t>
      </w:r>
      <w:r w:rsidR="0027675B">
        <w:t xml:space="preserve"> </w:t>
      </w:r>
      <w:r w:rsidR="00277E10">
        <w:t>more</w:t>
      </w:r>
      <w:r w:rsidR="0027675B">
        <w:t xml:space="preserve"> protection can provide an objective justification for certain capital expenditures</w:t>
      </w:r>
      <w:r w:rsidR="00DA463C">
        <w:t xml:space="preserve"> to help protect that data.  </w:t>
      </w:r>
    </w:p>
    <w:p w14:paraId="5FD2CA95" w14:textId="426B2645" w:rsidR="00895C04" w:rsidRPr="005E1B65" w:rsidRDefault="00514D6A" w:rsidP="001D7646">
      <w:r>
        <w:t>A</w:t>
      </w:r>
      <w:r w:rsidR="00895C04" w:rsidRPr="005E1B65">
        <w:t xml:space="preserve">n organization can design </w:t>
      </w:r>
      <w:r w:rsidR="006478A9">
        <w:t>its</w:t>
      </w:r>
      <w:r w:rsidR="006478A9" w:rsidRPr="005E1B65">
        <w:t xml:space="preserve"> </w:t>
      </w:r>
      <w:r w:rsidR="00895C04" w:rsidRPr="005E1B65">
        <w:t>system</w:t>
      </w:r>
      <w:r w:rsidR="006478A9">
        <w:t>s</w:t>
      </w:r>
      <w:r w:rsidR="00895C04" w:rsidRPr="005E1B65">
        <w:t xml:space="preserve"> architecture with varying information sensitivity levels in mind</w:t>
      </w:r>
      <w:r>
        <w:t xml:space="preserve"> if the</w:t>
      </w:r>
      <w:r w:rsidR="005D0682">
        <w:t>re is an awareness of the location, type, and handling requirements of the data.</w:t>
      </w:r>
      <w:r w:rsidR="006478A9">
        <w:t xml:space="preserve"> </w:t>
      </w:r>
      <w:r w:rsidR="00895C04" w:rsidRPr="005E1B65">
        <w:t>This may assist in achieving economies of scale with security services and protection through shared network and security zones. For example, an information system containing information protected by state privacy laws may be stored with other information systems containing similar sensitive information which are regulated by a third-party agreement.</w:t>
      </w:r>
      <w:r w:rsidR="006A5942">
        <w:t xml:space="preserve"> </w:t>
      </w:r>
    </w:p>
    <w:p w14:paraId="34B2B1C3" w14:textId="77777777" w:rsidR="00895C04" w:rsidRPr="001C6DFE" w:rsidRDefault="00895C04" w:rsidP="00463ECF">
      <w:r w:rsidRPr="005E1B65">
        <w:t xml:space="preserve">Agency contingency and disaster recovery planning personnel can use the outputs of the </w:t>
      </w:r>
      <w:r w:rsidRPr="001C6DFE">
        <w:t xml:space="preserve">data classification process to ensure that the infrastructure is sufficiently protected and that recovery efforts focus on high impact systems. </w:t>
      </w:r>
    </w:p>
    <w:p w14:paraId="465A5471" w14:textId="77777777" w:rsidR="00895C04" w:rsidRPr="001C6DFE" w:rsidRDefault="00895C04" w:rsidP="00463ECF">
      <w:r w:rsidRPr="001C6DFE">
        <w:t>Finally, artifacts of a data classification process can also serve as inputs to Business Impact Analysis (BIA) reviews, Information Sharing and System Interconnection Agreements, and audit trails.</w:t>
      </w:r>
    </w:p>
    <w:p w14:paraId="12663B49" w14:textId="77777777" w:rsidR="00463ECF" w:rsidRPr="001C6DFE" w:rsidRDefault="00463ECF" w:rsidP="00AE6E59">
      <w:pPr>
        <w:pStyle w:val="Heading2"/>
      </w:pPr>
      <w:bookmarkStart w:id="16" w:name="_Toc376876714"/>
      <w:bookmarkStart w:id="17" w:name="_Toc518646271"/>
      <w:r w:rsidRPr="001C6DFE">
        <w:lastRenderedPageBreak/>
        <w:t>Proposed Solution</w:t>
      </w:r>
      <w:bookmarkEnd w:id="16"/>
      <w:bookmarkEnd w:id="17"/>
    </w:p>
    <w:p w14:paraId="76FD16E3" w14:textId="77777777" w:rsidR="00463ECF" w:rsidRDefault="00463ECF" w:rsidP="00AE6E59">
      <w:pPr>
        <w:keepNext/>
      </w:pPr>
      <w:r w:rsidRPr="001C6DFE">
        <w:t>The proposed data classification scheme outlines four</w:t>
      </w:r>
      <w:r>
        <w:t xml:space="preserve"> classification labels.</w:t>
      </w:r>
      <w:r w:rsidR="006A5942">
        <w:t xml:space="preserve"> </w:t>
      </w:r>
    </w:p>
    <w:p w14:paraId="66640B95" w14:textId="77777777" w:rsidR="00463ECF" w:rsidRDefault="00463ECF" w:rsidP="00AE6E59">
      <w:pPr>
        <w:pStyle w:val="ListParagraph"/>
        <w:keepNext/>
      </w:pPr>
      <w:r w:rsidRPr="006A5942">
        <w:rPr>
          <w:i/>
          <w:color w:val="1F497D" w:themeColor="text2"/>
        </w:rPr>
        <w:t>Public</w:t>
      </w:r>
      <w:r w:rsidR="006A5942">
        <w:rPr>
          <w:i/>
        </w:rPr>
        <w:t xml:space="preserve"> </w:t>
      </w:r>
      <w:r w:rsidR="006A5942">
        <w:t xml:space="preserve">– </w:t>
      </w:r>
      <w:r>
        <w:t>Information that is freely and without reservation made available to the public.</w:t>
      </w:r>
    </w:p>
    <w:p w14:paraId="271D3C8E" w14:textId="23A7ED26" w:rsidR="00463ECF" w:rsidRDefault="006A5942" w:rsidP="00AE6E59">
      <w:pPr>
        <w:pStyle w:val="ListParagraph"/>
        <w:keepNext/>
      </w:pPr>
      <w:r w:rsidRPr="008A4754">
        <w:rPr>
          <w:i/>
          <w:iCs/>
          <w:color w:val="1F497D" w:themeColor="text2"/>
        </w:rPr>
        <w:t>Sensitive</w:t>
      </w:r>
      <w:r w:rsidRPr="008A4754">
        <w:rPr>
          <w:i/>
          <w:iCs/>
        </w:rPr>
        <w:t xml:space="preserve"> </w:t>
      </w:r>
      <w:r>
        <w:t xml:space="preserve">– </w:t>
      </w:r>
      <w:r w:rsidR="00463ECF">
        <w:t xml:space="preserve">Information that could be subject to release under an open </w:t>
      </w:r>
      <w:r w:rsidR="00D167FA">
        <w:t>records requests but</w:t>
      </w:r>
      <w:r w:rsidR="00463ECF">
        <w:t xml:space="preserve"> should be controlled to protect third parties</w:t>
      </w:r>
      <w:r>
        <w:t>.</w:t>
      </w:r>
    </w:p>
    <w:p w14:paraId="27A8DCDE" w14:textId="77777777" w:rsidR="00463ECF" w:rsidRDefault="006A5942" w:rsidP="00AE6E59">
      <w:pPr>
        <w:pStyle w:val="ListParagraph"/>
        <w:keepNext/>
      </w:pPr>
      <w:r w:rsidRPr="006A5942">
        <w:rPr>
          <w:i/>
          <w:color w:val="1F497D" w:themeColor="text2"/>
        </w:rPr>
        <w:t>Confidential</w:t>
      </w:r>
      <w:r>
        <w:rPr>
          <w:i/>
        </w:rPr>
        <w:t xml:space="preserve"> </w:t>
      </w:r>
      <w:r>
        <w:t xml:space="preserve">– </w:t>
      </w:r>
      <w:r w:rsidR="00463ECF">
        <w:t xml:space="preserve">Information that typically is </w:t>
      </w:r>
      <w:r w:rsidR="00463ECF" w:rsidRPr="00AE6E59">
        <w:t>excepted</w:t>
      </w:r>
      <w:r w:rsidR="00463ECF">
        <w:t xml:space="preserve"> from the Public Information Act</w:t>
      </w:r>
      <w:r>
        <w:t>.</w:t>
      </w:r>
    </w:p>
    <w:p w14:paraId="142DFCDA" w14:textId="7BD4F0F1" w:rsidR="00463ECF" w:rsidRDefault="006A5942" w:rsidP="00463ECF">
      <w:pPr>
        <w:pStyle w:val="ListParagraph"/>
      </w:pPr>
      <w:r w:rsidRPr="008A4754">
        <w:rPr>
          <w:i/>
          <w:iCs/>
          <w:color w:val="1F497D" w:themeColor="text2"/>
        </w:rPr>
        <w:t>Regulated</w:t>
      </w:r>
      <w:r w:rsidRPr="006A5942">
        <w:rPr>
          <w:color w:val="1F497D" w:themeColor="text2"/>
        </w:rPr>
        <w:t xml:space="preserve"> </w:t>
      </w:r>
      <w:r>
        <w:t xml:space="preserve">– </w:t>
      </w:r>
      <w:r w:rsidR="00463ECF">
        <w:t xml:space="preserve">Information that is controlled by a federal regulation or other </w:t>
      </w:r>
      <w:r w:rsidR="00D167FA">
        <w:t>third-party</w:t>
      </w:r>
      <w:r w:rsidR="00463ECF">
        <w:t xml:space="preserve"> agreement</w:t>
      </w:r>
      <w:r>
        <w:t>.</w:t>
      </w:r>
    </w:p>
    <w:p w14:paraId="434A069F" w14:textId="77777777" w:rsidR="006A5942" w:rsidRDefault="006A5942" w:rsidP="00AE6E59">
      <w:pPr>
        <w:pStyle w:val="Heading3"/>
      </w:pPr>
      <w:r w:rsidRPr="00AE6E59">
        <w:t>Public</w:t>
      </w:r>
    </w:p>
    <w:p w14:paraId="09ECC9EC" w14:textId="77777777" w:rsidR="00463ECF" w:rsidRDefault="00463ECF" w:rsidP="00463ECF">
      <w:r>
        <w:t xml:space="preserve">The </w:t>
      </w:r>
      <w:r w:rsidRPr="006A5942">
        <w:rPr>
          <w:i/>
        </w:rPr>
        <w:t>Public</w:t>
      </w:r>
      <w:r>
        <w:t xml:space="preserve"> information label is used for information such as published reports, press releases, and information published to the agenc</w:t>
      </w:r>
      <w:r w:rsidR="00C7410D">
        <w:t>y’s</w:t>
      </w:r>
      <w:r>
        <w:t xml:space="preserve"> public website.</w:t>
      </w:r>
      <w:r w:rsidR="006A5942">
        <w:t xml:space="preserve"> </w:t>
      </w:r>
      <w:r>
        <w:t>Such information requires no authentication and is freely distributable by all agency personnel.</w:t>
      </w:r>
    </w:p>
    <w:p w14:paraId="5C0B1323" w14:textId="77777777" w:rsidR="006A5942" w:rsidRDefault="006A5942" w:rsidP="006A5942">
      <w:pPr>
        <w:pStyle w:val="Heading3"/>
      </w:pPr>
      <w:r>
        <w:t>Sensitive</w:t>
      </w:r>
    </w:p>
    <w:p w14:paraId="2FEA0C98" w14:textId="2885C6DB" w:rsidR="00463ECF" w:rsidRDefault="00463ECF" w:rsidP="00463ECF">
      <w:r>
        <w:t xml:space="preserve">Moving the </w:t>
      </w:r>
      <w:r w:rsidRPr="008A4754">
        <w:rPr>
          <w:i/>
          <w:iCs/>
        </w:rPr>
        <w:t>Sensitive</w:t>
      </w:r>
      <w:r>
        <w:t xml:space="preserve"> label, much of the information is still subject to public release under an open records request, but the information should be vetted and verified before release.</w:t>
      </w:r>
      <w:r w:rsidR="006A5942">
        <w:t xml:space="preserve"> </w:t>
      </w:r>
      <w:r>
        <w:t>These types of data include items such as employee records and gross salary information.</w:t>
      </w:r>
      <w:r w:rsidR="006A5942">
        <w:t xml:space="preserve"> </w:t>
      </w:r>
      <w:r>
        <w:t xml:space="preserve">While these records and information are considered “public” under the </w:t>
      </w:r>
      <w:r w:rsidR="00006933">
        <w:t>Texas Public Information Act</w:t>
      </w:r>
      <w:r>
        <w:t>, they should still be afforded a higher level of protection to ensure confidential data (e.g., net salary information) is not comingled.</w:t>
      </w:r>
      <w:r w:rsidR="006A5942">
        <w:t xml:space="preserve"> </w:t>
      </w:r>
      <w:r>
        <w:t>Many agencies will choose to release this type of information only through select employees who are familiar with the state and federal rules regarding disclosure.</w:t>
      </w:r>
    </w:p>
    <w:p w14:paraId="40F1E5C1" w14:textId="77777777" w:rsidR="006A5942" w:rsidRDefault="006A5942" w:rsidP="006A5942">
      <w:pPr>
        <w:pStyle w:val="Heading3"/>
      </w:pPr>
      <w:r>
        <w:t>Confidential</w:t>
      </w:r>
    </w:p>
    <w:p w14:paraId="1B080258" w14:textId="0B0A6C41" w:rsidR="00463ECF" w:rsidRDefault="00463ECF" w:rsidP="00463ECF">
      <w:r>
        <w:t xml:space="preserve">The </w:t>
      </w:r>
      <w:r w:rsidRPr="008A4754">
        <w:rPr>
          <w:i/>
          <w:iCs/>
        </w:rPr>
        <w:t>Confidential</w:t>
      </w:r>
      <w:r>
        <w:t xml:space="preserve"> label is used to identify information that is typically </w:t>
      </w:r>
      <w:r w:rsidRPr="00AE6E59">
        <w:t>excepted</w:t>
      </w:r>
      <w:r w:rsidR="00C7410D">
        <w:t xml:space="preserve"> </w:t>
      </w:r>
      <w:r>
        <w:t xml:space="preserve">from public disclosure, whether specified in law or through a decision by the Open Records division of the Texas </w:t>
      </w:r>
      <w:r w:rsidR="00BC2C9C">
        <w:t>Office of the Attorney General</w:t>
      </w:r>
      <w:r>
        <w:t>.</w:t>
      </w:r>
      <w:r w:rsidR="006A5942">
        <w:t xml:space="preserve"> </w:t>
      </w:r>
      <w:r>
        <w:t xml:space="preserve">Confidential </w:t>
      </w:r>
      <w:r w:rsidR="00BC2C9C">
        <w:t xml:space="preserve">data </w:t>
      </w:r>
      <w:r>
        <w:t>include information such as attorney-client communications, protected draft communications, and computer vulnerability reports.</w:t>
      </w:r>
    </w:p>
    <w:p w14:paraId="1D4EACA8" w14:textId="77777777" w:rsidR="006A5942" w:rsidRDefault="006A5942" w:rsidP="006A5942">
      <w:pPr>
        <w:pStyle w:val="Heading3"/>
      </w:pPr>
      <w:r>
        <w:rPr>
          <w:rFonts w:eastAsia="Times New Roman"/>
        </w:rPr>
        <w:t>Regulated</w:t>
      </w:r>
    </w:p>
    <w:p w14:paraId="6E4275D5" w14:textId="0AF6D35B" w:rsidR="00463ECF" w:rsidRDefault="00463ECF" w:rsidP="00463ECF">
      <w:r>
        <w:t xml:space="preserve">The fourth label, </w:t>
      </w:r>
      <w:r w:rsidRPr="008A4754">
        <w:rPr>
          <w:i/>
          <w:iCs/>
        </w:rPr>
        <w:t>Regulated</w:t>
      </w:r>
      <w:r>
        <w:t>, may or may not be applicable to an agency, based on its mandate, customers, and business operations.</w:t>
      </w:r>
      <w:r w:rsidR="006A5942" w:rsidRPr="08174185">
        <w:t xml:space="preserve"> </w:t>
      </w:r>
      <w:r>
        <w:t>Regulated focuses on the types of data typically regulated by federal statute or third-party agreements.</w:t>
      </w:r>
      <w:r w:rsidR="006A5942" w:rsidRPr="08174185">
        <w:t xml:space="preserve"> </w:t>
      </w:r>
      <w:r>
        <w:t xml:space="preserve">Agencies that maintain </w:t>
      </w:r>
      <w:r w:rsidR="2B2B5109">
        <w:t>protected health, f</w:t>
      </w:r>
      <w:r w:rsidR="55F864F4">
        <w:t>ederal tax, payment card</w:t>
      </w:r>
      <w:r w:rsidR="00327A31">
        <w:t xml:space="preserve">, or certain personal information </w:t>
      </w:r>
      <w:r>
        <w:t>will have specific requirements placed on that data by a non-Texas regulation.</w:t>
      </w:r>
      <w:r w:rsidR="006A5942" w:rsidRPr="08174185">
        <w:t xml:space="preserve"> </w:t>
      </w:r>
      <w:r w:rsidR="00CB2AFA">
        <w:t>Therefore, regulated</w:t>
      </w:r>
      <w:r>
        <w:t xml:space="preserve"> data has specific handling requirements that are unique </w:t>
      </w:r>
      <w:r w:rsidR="00260AC7">
        <w:t xml:space="preserve">to their regulations </w:t>
      </w:r>
      <w:r>
        <w:t>and do not apply to all agencies.</w:t>
      </w:r>
    </w:p>
    <w:p w14:paraId="06AF4D31" w14:textId="1FE3B89D" w:rsidR="00463ECF" w:rsidRPr="00FF6E24" w:rsidRDefault="00260AC7" w:rsidP="00463ECF">
      <w:r>
        <w:t>Often</w:t>
      </w:r>
      <w:r w:rsidR="00463ECF">
        <w:t xml:space="preserve"> in data classification projects, the adage “the perfect is the enemy of the good” </w:t>
      </w:r>
      <w:r w:rsidR="00E27AAB">
        <w:t xml:space="preserve">can impede </w:t>
      </w:r>
      <w:r w:rsidR="00463ECF">
        <w:t>implementation.</w:t>
      </w:r>
      <w:r w:rsidR="006A5942">
        <w:t xml:space="preserve"> </w:t>
      </w:r>
      <w:r w:rsidR="00463ECF">
        <w:t xml:space="preserve">The </w:t>
      </w:r>
      <w:r w:rsidR="00C7410D">
        <w:t xml:space="preserve">data </w:t>
      </w:r>
      <w:r w:rsidR="00463ECF">
        <w:t xml:space="preserve">classification scheme presented is not perfect for every agency or </w:t>
      </w:r>
      <w:r w:rsidR="00463ECF" w:rsidRPr="00AE6E59">
        <w:t>every occasion.</w:t>
      </w:r>
      <w:r w:rsidR="006A5942" w:rsidRPr="00AE6E59">
        <w:t xml:space="preserve"> </w:t>
      </w:r>
      <w:r w:rsidR="00463ECF" w:rsidRPr="00AE6E59">
        <w:t>The workgroup, however, feels it should be considered a good starting point to begin a data classification and handling program within an organization</w:t>
      </w:r>
      <w:r w:rsidR="00463ECF">
        <w:t>.</w:t>
      </w:r>
      <w:r w:rsidR="006A5942">
        <w:t xml:space="preserve"> </w:t>
      </w:r>
      <w:r w:rsidR="00332EBC">
        <w:t xml:space="preserve">As an agencies data classification practices mature, the </w:t>
      </w:r>
      <w:r w:rsidR="006414B8">
        <w:t>classification scheme</w:t>
      </w:r>
      <w:r w:rsidR="00332EBC">
        <w:t xml:space="preserve"> </w:t>
      </w:r>
      <w:r w:rsidR="006414B8">
        <w:t>may change or evolve over time.</w:t>
      </w:r>
    </w:p>
    <w:p w14:paraId="0E30F7FE" w14:textId="77777777" w:rsidR="00463ECF" w:rsidRPr="006A5942" w:rsidRDefault="00463ECF" w:rsidP="00AE6E59">
      <w:pPr>
        <w:pStyle w:val="Heading2"/>
        <w:rPr>
          <w:rStyle w:val="SubtleEmphasis"/>
          <w:i w:val="0"/>
          <w:iCs w:val="0"/>
          <w:color w:val="1F497D" w:themeColor="text2"/>
        </w:rPr>
      </w:pPr>
      <w:bookmarkStart w:id="18" w:name="_Toc518646272"/>
      <w:r w:rsidRPr="006A5942">
        <w:rPr>
          <w:rStyle w:val="SubtleEmphasis"/>
          <w:i w:val="0"/>
          <w:iCs w:val="0"/>
          <w:color w:val="1F497D" w:themeColor="text2"/>
        </w:rPr>
        <w:lastRenderedPageBreak/>
        <w:t>Sample Security Controls</w:t>
      </w:r>
      <w:bookmarkEnd w:id="18"/>
    </w:p>
    <w:p w14:paraId="07A67EAE" w14:textId="214F25BA" w:rsidR="00463ECF" w:rsidRPr="00C04B03" w:rsidRDefault="00463ECF" w:rsidP="00C7410D">
      <w:r w:rsidRPr="00C04B03">
        <w:t>Included</w:t>
      </w:r>
      <w:r>
        <w:t xml:space="preserve"> in the data classification template are </w:t>
      </w:r>
      <w:r w:rsidRPr="00327A31">
        <w:rPr>
          <w:i/>
          <w:iCs/>
        </w:rPr>
        <w:t>Sample Security Controls</w:t>
      </w:r>
      <w:r w:rsidRPr="5EC023B5">
        <w:t>.</w:t>
      </w:r>
      <w:r w:rsidR="006A5942" w:rsidRPr="5EC023B5">
        <w:t xml:space="preserve"> </w:t>
      </w:r>
      <w:r>
        <w:t>These controls are meant to be a reference and starting point for agencies to build from.</w:t>
      </w:r>
      <w:r w:rsidR="006A5942" w:rsidRPr="5EC023B5">
        <w:t xml:space="preserve"> </w:t>
      </w:r>
      <w:r>
        <w:t xml:space="preserve">As an example, some agencies may fully adopt the </w:t>
      </w:r>
      <w:r w:rsidRPr="00327A31">
        <w:rPr>
          <w:i/>
          <w:iCs/>
        </w:rPr>
        <w:t>Roles and Responsibilities</w:t>
      </w:r>
      <w:r>
        <w:t xml:space="preserve"> section, </w:t>
      </w:r>
      <w:r w:rsidR="001A087F">
        <w:t>others</w:t>
      </w:r>
      <w:r w:rsidR="001A087F" w:rsidRPr="5EC023B5">
        <w:t xml:space="preserve"> </w:t>
      </w:r>
      <w:r>
        <w:t>may decide</w:t>
      </w:r>
      <w:r w:rsidR="001A087F">
        <w:t xml:space="preserve"> (through documented risk acceptance) </w:t>
      </w:r>
      <w:r>
        <w:t>that they do not need to implement encryption to protect fixed media.</w:t>
      </w:r>
      <w:r w:rsidR="006A5942" w:rsidRPr="5EC023B5">
        <w:t xml:space="preserve"> </w:t>
      </w:r>
      <w:r>
        <w:t xml:space="preserve">The </w:t>
      </w:r>
      <w:r w:rsidR="00A019CE">
        <w:t xml:space="preserve">data classification </w:t>
      </w:r>
      <w:r>
        <w:t xml:space="preserve">template serves as a starting point to help identify areas that should be a </w:t>
      </w:r>
      <w:r w:rsidRPr="00AE6E59">
        <w:t>part of a mature data classification and handling program.</w:t>
      </w:r>
    </w:p>
    <w:p w14:paraId="19567D8E" w14:textId="77777777" w:rsidR="00463ECF" w:rsidRDefault="00463ECF" w:rsidP="00AE6E59">
      <w:pPr>
        <w:pStyle w:val="Heading2"/>
      </w:pPr>
      <w:bookmarkStart w:id="19" w:name="_Toc376876715"/>
      <w:bookmarkStart w:id="20" w:name="_Toc518646273"/>
      <w:r>
        <w:t>Implementation</w:t>
      </w:r>
      <w:bookmarkEnd w:id="19"/>
      <w:r>
        <w:t xml:space="preserve"> Guidance</w:t>
      </w:r>
      <w:bookmarkEnd w:id="20"/>
    </w:p>
    <w:p w14:paraId="261B67BC" w14:textId="0CEBA644" w:rsidR="00463ECF" w:rsidRDefault="00463ECF" w:rsidP="006A5942">
      <w:r>
        <w:t>As mentioned several times, the template provided should be considered a starting point for internal agency deliberation.</w:t>
      </w:r>
      <w:r w:rsidR="006A5942">
        <w:t xml:space="preserve"> </w:t>
      </w:r>
      <w:r>
        <w:t xml:space="preserve">Not all agencies will be prepared to implement </w:t>
      </w:r>
      <w:r w:rsidR="00D578C5">
        <w:t>all</w:t>
      </w:r>
      <w:r>
        <w:t xml:space="preserve"> the handling requirements or have the discipline </w:t>
      </w:r>
      <w:r w:rsidR="00B438E8">
        <w:t>and</w:t>
      </w:r>
      <w:r w:rsidR="00D578C5">
        <w:t xml:space="preserve"> resources </w:t>
      </w:r>
      <w:r>
        <w:t>to classify all data at an elemental level.</w:t>
      </w:r>
      <w:r w:rsidR="006A5942">
        <w:t xml:space="preserve"> </w:t>
      </w:r>
      <w:r w:rsidR="005B57A8">
        <w:t xml:space="preserve">The following are a few tips for implementing a data classification program within </w:t>
      </w:r>
      <w:r w:rsidR="0012640B">
        <w:t>an organization.</w:t>
      </w:r>
    </w:p>
    <w:p w14:paraId="04676527" w14:textId="24AC0E3E" w:rsidR="00463ECF" w:rsidRDefault="00463ECF" w:rsidP="006A5942">
      <w:pPr>
        <w:pStyle w:val="ListParagraph"/>
        <w:ind w:left="734" w:hanging="187"/>
        <w:contextualSpacing w:val="0"/>
      </w:pPr>
      <w:r w:rsidRPr="003668B7">
        <w:t>Assess</w:t>
      </w:r>
      <w:r w:rsidR="00C7410D">
        <w:t xml:space="preserve"> </w:t>
      </w:r>
      <w:r w:rsidRPr="003668B7">
        <w:t>the readiness of the organization to accept data classification as a standard process.</w:t>
      </w:r>
      <w:r w:rsidR="006A5942">
        <w:t xml:space="preserve"> </w:t>
      </w:r>
      <w:r w:rsidRPr="003668B7">
        <w:t xml:space="preserve">If the organization has a mature culture of security, the data classification scheme and handling requirements can be more detailed. For agencies </w:t>
      </w:r>
      <w:r w:rsidR="00134D13">
        <w:t xml:space="preserve">just starting the data classification process, </w:t>
      </w:r>
      <w:r w:rsidRPr="003668B7">
        <w:t>a simpler scheme with fewer handling requirements</w:t>
      </w:r>
      <w:r>
        <w:t xml:space="preserve"> </w:t>
      </w:r>
      <w:r w:rsidR="00DA3934">
        <w:t>can help in gaining traction</w:t>
      </w:r>
      <w:r>
        <w:t>.</w:t>
      </w:r>
    </w:p>
    <w:p w14:paraId="0DA03215" w14:textId="77777777" w:rsidR="00463ECF" w:rsidRDefault="00463ECF" w:rsidP="006A5942">
      <w:pPr>
        <w:pStyle w:val="ListParagraph"/>
        <w:ind w:left="734" w:hanging="187"/>
        <w:contextualSpacing w:val="0"/>
      </w:pPr>
      <w:r w:rsidRPr="003668B7">
        <w:t>As part of the readiness assessment, key influencers and executive staff must be involved early in the process.</w:t>
      </w:r>
      <w:r w:rsidR="006A5942">
        <w:t xml:space="preserve"> </w:t>
      </w:r>
      <w:r w:rsidRPr="003668B7">
        <w:t xml:space="preserve">Individuals </w:t>
      </w:r>
      <w:r w:rsidR="00C7410D">
        <w:t xml:space="preserve">who </w:t>
      </w:r>
      <w:r w:rsidRPr="003668B7">
        <w:t>are part of the planning and development of the strategy are more likely to su</w:t>
      </w:r>
      <w:r>
        <w:t>pport it during implementation.</w:t>
      </w:r>
    </w:p>
    <w:p w14:paraId="55AE09D9" w14:textId="77777777" w:rsidR="00463ECF" w:rsidRPr="003668B7" w:rsidRDefault="00463ECF" w:rsidP="006A5942">
      <w:pPr>
        <w:pStyle w:val="ListParagraph"/>
        <w:ind w:left="734" w:hanging="187"/>
        <w:contextualSpacing w:val="0"/>
      </w:pPr>
      <w:r w:rsidRPr="003668B7">
        <w:t>Build data classification into the agency’s System Development Lifecycle.</w:t>
      </w:r>
      <w:r w:rsidR="006A5942">
        <w:t xml:space="preserve"> </w:t>
      </w:r>
      <w:r w:rsidRPr="003668B7">
        <w:t>An initial data classification should occur during development, guiding the security controls that must be implemented.</w:t>
      </w:r>
      <w:r w:rsidR="006A5942">
        <w:t xml:space="preserve"> </w:t>
      </w:r>
    </w:p>
    <w:p w14:paraId="10BCA8D8" w14:textId="77777777" w:rsidR="00463ECF" w:rsidRPr="00FF6E24" w:rsidRDefault="00463ECF" w:rsidP="006A5942">
      <w:pPr>
        <w:pStyle w:val="ListParagraph"/>
        <w:ind w:left="734" w:hanging="187"/>
        <w:contextualSpacing w:val="0"/>
      </w:pPr>
      <w:r w:rsidRPr="00FF6E24">
        <w:t xml:space="preserve">For </w:t>
      </w:r>
      <w:r>
        <w:t>agencies</w:t>
      </w:r>
      <w:r w:rsidRPr="00FF6E24">
        <w:t xml:space="preserve"> </w:t>
      </w:r>
      <w:r w:rsidR="00134D13">
        <w:t xml:space="preserve">that are unsure </w:t>
      </w:r>
      <w:r>
        <w:t>they can</w:t>
      </w:r>
      <w:r w:rsidRPr="00FF6E24">
        <w:t xml:space="preserve"> classif</w:t>
      </w:r>
      <w:r>
        <w:t>y</w:t>
      </w:r>
      <w:r w:rsidRPr="00FF6E24">
        <w:t xml:space="preserve"> </w:t>
      </w:r>
      <w:r>
        <w:t xml:space="preserve">their </w:t>
      </w:r>
      <w:r w:rsidRPr="00FF6E24">
        <w:t xml:space="preserve">data </w:t>
      </w:r>
      <w:r>
        <w:t>directly</w:t>
      </w:r>
      <w:r w:rsidRPr="00FF6E24">
        <w:t>, try classifying networks instead of the data.</w:t>
      </w:r>
      <w:r w:rsidR="006A5942">
        <w:t xml:space="preserve"> </w:t>
      </w:r>
      <w:r>
        <w:t>All networks should be classified at the highest level of data it contains, so i</w:t>
      </w:r>
      <w:r w:rsidRPr="00FF6E24">
        <w:t xml:space="preserve">f a network contains sensitive data, then it </w:t>
      </w:r>
      <w:r>
        <w:t>should</w:t>
      </w:r>
      <w:r w:rsidRPr="00FF6E24">
        <w:t xml:space="preserve"> be </w:t>
      </w:r>
      <w:r>
        <w:t xml:space="preserve">classified as a </w:t>
      </w:r>
      <w:r w:rsidRPr="00FF6E24">
        <w:t>sensitive network. The network classification then will mandate the type of security controls that the network must possess.</w:t>
      </w:r>
      <w:r w:rsidR="006A5942">
        <w:t xml:space="preserve"> </w:t>
      </w:r>
      <w:r>
        <w:t>As the data classification program matures, the agency can get more granular with the elements it classifies.</w:t>
      </w:r>
    </w:p>
    <w:p w14:paraId="30A6263C" w14:textId="77777777" w:rsidR="00463ECF" w:rsidRDefault="006A5942" w:rsidP="00AE6E59">
      <w:pPr>
        <w:pStyle w:val="Heading2"/>
      </w:pPr>
      <w:bookmarkStart w:id="21" w:name="_Toc376876716"/>
      <w:bookmarkStart w:id="22" w:name="_Toc518646274"/>
      <w:r>
        <w:t>P</w:t>
      </w:r>
      <w:r w:rsidR="00463ECF">
        <w:t>roposed Data Classification Taxonomy</w:t>
      </w:r>
      <w:bookmarkEnd w:id="21"/>
      <w:bookmarkEnd w:id="22"/>
    </w:p>
    <w:p w14:paraId="71159560" w14:textId="77777777" w:rsidR="00463ECF" w:rsidRPr="005F6B90" w:rsidRDefault="00463ECF" w:rsidP="006A5942">
      <w:r w:rsidRPr="005F6B90">
        <w:t>The</w:t>
      </w:r>
      <w:r>
        <w:t xml:space="preserve"> </w:t>
      </w:r>
      <w:r w:rsidRPr="00134D13">
        <w:t xml:space="preserve">accompanying spreadsheet </w:t>
      </w:r>
      <w:r w:rsidR="00E57855" w:rsidRPr="00134D13">
        <w:t xml:space="preserve">is a template presenting </w:t>
      </w:r>
      <w:r w:rsidRPr="00134D13">
        <w:t xml:space="preserve">the four data classification labels discussed in this </w:t>
      </w:r>
      <w:r w:rsidR="00E57855" w:rsidRPr="00134D13">
        <w:t xml:space="preserve">guide. It </w:t>
      </w:r>
      <w:r w:rsidRPr="00134D13">
        <w:t xml:space="preserve">provides sample security controls for each </w:t>
      </w:r>
      <w:r w:rsidR="00E57855" w:rsidRPr="00134D13">
        <w:t xml:space="preserve">classification </w:t>
      </w:r>
      <w:r w:rsidRPr="00134D13">
        <w:t>level.</w:t>
      </w:r>
      <w:r w:rsidR="006A5942" w:rsidRPr="00134D13">
        <w:t xml:space="preserve"> </w:t>
      </w:r>
      <w:r w:rsidR="00E57855" w:rsidRPr="00134D13">
        <w:t>R</w:t>
      </w:r>
      <w:r w:rsidRPr="00134D13">
        <w:t>efer to th</w:t>
      </w:r>
      <w:r w:rsidR="00E57855" w:rsidRPr="00134D13">
        <w:t xml:space="preserve">e template </w:t>
      </w:r>
      <w:r w:rsidRPr="00134D13">
        <w:t>for the proposed taxonomy</w:t>
      </w:r>
      <w:r w:rsidR="00E57855" w:rsidRPr="00134D13">
        <w:t xml:space="preserve"> and use it as a starting point to identify areas that should be a part of the agency’s data classification system</w:t>
      </w:r>
      <w:r w:rsidR="00E57855">
        <w:t>.</w:t>
      </w:r>
    </w:p>
    <w:p w14:paraId="64106BF3" w14:textId="77777777" w:rsidR="00895C04" w:rsidRDefault="00895C04">
      <w:pPr>
        <w:autoSpaceDE/>
        <w:autoSpaceDN/>
        <w:adjustRightInd/>
        <w:spacing w:line="276" w:lineRule="auto"/>
        <w:ind w:left="0"/>
        <w:rPr>
          <w:rFonts w:asciiTheme="majorHAnsi" w:eastAsia="Times New Roman" w:hAnsiTheme="majorHAnsi" w:cstheme="majorBidi"/>
          <w:b/>
          <w:bCs w:val="0"/>
          <w:color w:val="1F497D" w:themeColor="text2"/>
          <w:sz w:val="28"/>
        </w:rPr>
      </w:pPr>
    </w:p>
    <w:bookmarkEnd w:id="10"/>
    <w:p w14:paraId="650A2EA7" w14:textId="77777777" w:rsidR="00037D04" w:rsidRDefault="00037D04" w:rsidP="00425BD7"/>
    <w:p w14:paraId="52ACB3A7" w14:textId="77777777" w:rsidR="00D351F3" w:rsidRDefault="00D351F3" w:rsidP="00AE6E59">
      <w:pPr>
        <w:pStyle w:val="Heading2"/>
      </w:pPr>
      <w:bookmarkStart w:id="23" w:name="_Toc518646275"/>
      <w:r>
        <w:lastRenderedPageBreak/>
        <w:t>Version History</w:t>
      </w:r>
      <w:bookmarkEnd w:id="23"/>
      <w:r>
        <w:t xml:space="preserve"> </w:t>
      </w:r>
    </w:p>
    <w:p w14:paraId="4674F897" w14:textId="77777777" w:rsidR="001B1C94" w:rsidRDefault="00D351F3" w:rsidP="00D351F3">
      <w:r>
        <w:t xml:space="preserve">Current tools are available on the </w:t>
      </w:r>
      <w:r w:rsidR="00FC21A8">
        <w:t xml:space="preserve">Texas Cybersecurity </w:t>
      </w:r>
      <w:r w:rsidRPr="00134D13">
        <w:t>Framework</w:t>
      </w:r>
      <w:r>
        <w:t xml:space="preserve"> </w:t>
      </w:r>
      <w:r w:rsidR="00FC21A8">
        <w:t>website.</w:t>
      </w:r>
    </w:p>
    <w:tbl>
      <w:tblPr>
        <w:tblStyle w:val="TableGrid"/>
        <w:tblW w:w="0" w:type="auto"/>
        <w:tblInd w:w="43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left w:w="72" w:type="dxa"/>
          <w:bottom w:w="72" w:type="dxa"/>
          <w:right w:w="72" w:type="dxa"/>
        </w:tblCellMar>
        <w:tblLook w:val="04A0" w:firstRow="1" w:lastRow="0" w:firstColumn="1" w:lastColumn="0" w:noHBand="0" w:noVBand="1"/>
      </w:tblPr>
      <w:tblGrid>
        <w:gridCol w:w="1746"/>
        <w:gridCol w:w="6462"/>
      </w:tblGrid>
      <w:tr w:rsidR="00D351F3" w:rsidRPr="00473556" w14:paraId="6370BF5E" w14:textId="77777777" w:rsidTr="55F864F4">
        <w:trPr>
          <w:tblHeader/>
        </w:trPr>
        <w:tc>
          <w:tcPr>
            <w:tcW w:w="1746" w:type="dxa"/>
            <w:shd w:val="clear" w:color="auto" w:fill="EEF3F8"/>
          </w:tcPr>
          <w:p w14:paraId="10719A6A" w14:textId="77777777" w:rsidR="00D351F3" w:rsidRPr="00473556" w:rsidRDefault="00D351F3" w:rsidP="00CB6E7D">
            <w:pPr>
              <w:pStyle w:val="Table1"/>
              <w:tabs>
                <w:tab w:val="center" w:pos="1904"/>
              </w:tabs>
            </w:pPr>
            <w:r w:rsidRPr="00473556">
              <w:t>Release Date</w:t>
            </w:r>
            <w:r w:rsidR="00CB6E7D" w:rsidRPr="00473556">
              <w:tab/>
            </w:r>
          </w:p>
        </w:tc>
        <w:tc>
          <w:tcPr>
            <w:tcW w:w="6462" w:type="dxa"/>
            <w:shd w:val="clear" w:color="auto" w:fill="EEF3F8"/>
          </w:tcPr>
          <w:p w14:paraId="713D9B03" w14:textId="77777777" w:rsidR="00D351F3" w:rsidRPr="00473556" w:rsidRDefault="00D351F3" w:rsidP="009D4466">
            <w:pPr>
              <w:pStyle w:val="Table1"/>
            </w:pPr>
            <w:r w:rsidRPr="00473556">
              <w:t>Description</w:t>
            </w:r>
          </w:p>
        </w:tc>
      </w:tr>
      <w:tr w:rsidR="001D3D98" w14:paraId="065C6750" w14:textId="77777777" w:rsidTr="55F864F4">
        <w:tc>
          <w:tcPr>
            <w:tcW w:w="1746" w:type="dxa"/>
          </w:tcPr>
          <w:p w14:paraId="776A6DF5" w14:textId="77777777" w:rsidR="001D3D98" w:rsidRDefault="001D3D98" w:rsidP="00134D13">
            <w:pPr>
              <w:pStyle w:val="Table1"/>
            </w:pPr>
            <w:r>
              <w:t>2</w:t>
            </w:r>
            <w:r w:rsidR="00134D13">
              <w:t>5</w:t>
            </w:r>
            <w:r>
              <w:t>-Mar-2014</w:t>
            </w:r>
          </w:p>
        </w:tc>
        <w:tc>
          <w:tcPr>
            <w:tcW w:w="6462" w:type="dxa"/>
          </w:tcPr>
          <w:p w14:paraId="49095706" w14:textId="77777777" w:rsidR="001D3D98" w:rsidRDefault="001D3D98" w:rsidP="009D502F">
            <w:pPr>
              <w:pStyle w:val="Table1"/>
              <w:spacing w:after="100"/>
            </w:pPr>
            <w:r>
              <w:t>Version 1.</w:t>
            </w:r>
            <w:r w:rsidR="006A5942">
              <w:t>0 o</w:t>
            </w:r>
            <w:r>
              <w:t xml:space="preserve">f the </w:t>
            </w:r>
            <w:r w:rsidR="006A5942">
              <w:t xml:space="preserve">Guide </w:t>
            </w:r>
            <w:r>
              <w:t xml:space="preserve">and Template </w:t>
            </w:r>
            <w:r w:rsidR="009D502F">
              <w:t>released.</w:t>
            </w:r>
          </w:p>
        </w:tc>
      </w:tr>
      <w:tr w:rsidR="00BB71F4" w14:paraId="322714CB" w14:textId="77777777" w:rsidTr="55F864F4">
        <w:tc>
          <w:tcPr>
            <w:tcW w:w="1746" w:type="dxa"/>
          </w:tcPr>
          <w:p w14:paraId="2B1F64FF" w14:textId="0C519300" w:rsidR="00BB71F4" w:rsidRDefault="0018215F" w:rsidP="00134D13">
            <w:pPr>
              <w:pStyle w:val="Table1"/>
            </w:pPr>
            <w:r>
              <w:t>06-July-2018</w:t>
            </w:r>
          </w:p>
        </w:tc>
        <w:tc>
          <w:tcPr>
            <w:tcW w:w="6462" w:type="dxa"/>
          </w:tcPr>
          <w:p w14:paraId="6E724DFF" w14:textId="7ACA8B66" w:rsidR="00BB71F4" w:rsidRDefault="00BB71F4" w:rsidP="55F864F4">
            <w:pPr>
              <w:pStyle w:val="Table1"/>
              <w:spacing w:after="100"/>
            </w:pPr>
            <w:r>
              <w:t>Version 1.1 of the Guide and Template released.</w:t>
            </w:r>
          </w:p>
        </w:tc>
      </w:tr>
    </w:tbl>
    <w:p w14:paraId="21F40B48" w14:textId="77777777" w:rsidR="00D351F3" w:rsidRPr="000F326A" w:rsidRDefault="00D351F3" w:rsidP="00D351F3"/>
    <w:sectPr w:rsidR="00D351F3" w:rsidRPr="000F326A" w:rsidSect="008A4754">
      <w:footerReference w:type="default" r:id="rId13"/>
      <w:pgSz w:w="12240" w:h="15840" w:code="1"/>
      <w:pgMar w:top="1440" w:right="1440" w:bottom="1440" w:left="1440" w:header="720" w:footer="5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5A06A" w14:textId="77777777" w:rsidR="00D9519B" w:rsidRDefault="00D9519B" w:rsidP="00425BD7">
      <w:r>
        <w:separator/>
      </w:r>
    </w:p>
  </w:endnote>
  <w:endnote w:type="continuationSeparator" w:id="0">
    <w:p w14:paraId="5D9A597E" w14:textId="77777777" w:rsidR="00D9519B" w:rsidRDefault="00D9519B" w:rsidP="0042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C2BD" w14:textId="77777777" w:rsidR="00C07A3A" w:rsidRDefault="00C07A3A" w:rsidP="00425BD7">
    <w:pPr>
      <w:pStyle w:val="Footer"/>
    </w:pPr>
  </w:p>
  <w:p w14:paraId="45E0BFC0" w14:textId="77777777" w:rsidR="00C07A3A" w:rsidRDefault="00C07A3A" w:rsidP="00425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926042"/>
      <w:docPartObj>
        <w:docPartGallery w:val="Page Numbers (Bottom of Page)"/>
        <w:docPartUnique/>
      </w:docPartObj>
    </w:sdtPr>
    <w:sdtEndPr>
      <w:rPr>
        <w:noProof/>
        <w:sz w:val="18"/>
      </w:rPr>
    </w:sdtEndPr>
    <w:sdtContent>
      <w:p w14:paraId="72552C86" w14:textId="21C84A3C" w:rsidR="00C07A3A" w:rsidRPr="00555045" w:rsidRDefault="00C07A3A">
        <w:pPr>
          <w:pStyle w:val="Footer"/>
          <w:pBdr>
            <w:top w:val="single" w:sz="4" w:space="5" w:color="4F81BD" w:themeColor="accent1"/>
          </w:pBdr>
          <w:rPr>
            <w:sz w:val="18"/>
            <w:szCs w:val="18"/>
          </w:rPr>
        </w:pPr>
        <w:r w:rsidRPr="008A4754">
          <w:rPr>
            <w:sz w:val="18"/>
            <w:szCs w:val="18"/>
          </w:rPr>
          <w:t>TEXAS DEPARTMENT OF INFORMATION RESOURCES</w:t>
        </w:r>
        <w:r w:rsidRPr="008A4754">
          <w:rPr>
            <w:color w:val="4F81BD" w:themeColor="accent1"/>
            <w:sz w:val="18"/>
            <w:szCs w:val="18"/>
          </w:rPr>
          <w:t xml:space="preserve"> | </w:t>
        </w:r>
        <w:r w:rsidR="00C44A56" w:rsidRPr="008A4754">
          <w:rPr>
            <w:sz w:val="18"/>
            <w:szCs w:val="18"/>
          </w:rPr>
          <w:t>DATA CLASSIFICATION GUIDE</w:t>
        </w:r>
        <w:r w:rsidR="001D3D98" w:rsidRPr="008A4754">
          <w:rPr>
            <w:sz w:val="18"/>
            <w:szCs w:val="18"/>
          </w:rPr>
          <w:t xml:space="preserve"> </w:t>
        </w:r>
        <w:r w:rsidRPr="008A4754">
          <w:rPr>
            <w:color w:val="4F81BD" w:themeColor="accent1"/>
            <w:sz w:val="18"/>
            <w:szCs w:val="18"/>
          </w:rPr>
          <w:t>|</w:t>
        </w:r>
        <w:r w:rsidRPr="008A4754">
          <w:rPr>
            <w:sz w:val="18"/>
            <w:szCs w:val="18"/>
          </w:rPr>
          <w:t xml:space="preserve"> </w:t>
        </w:r>
        <w:r w:rsidR="0018215F">
          <w:rPr>
            <w:sz w:val="18"/>
            <w:szCs w:val="18"/>
          </w:rPr>
          <w:t>JULY</w:t>
        </w:r>
        <w:r w:rsidR="0018215F" w:rsidRPr="008A4754">
          <w:rPr>
            <w:sz w:val="18"/>
            <w:szCs w:val="18"/>
          </w:rPr>
          <w:t xml:space="preserve"> </w:t>
        </w:r>
        <w:r w:rsidRPr="008A4754">
          <w:rPr>
            <w:sz w:val="18"/>
            <w:szCs w:val="18"/>
          </w:rPr>
          <w:t>201</w:t>
        </w:r>
        <w:r w:rsidR="00BB71F4" w:rsidRPr="008A4754">
          <w:rPr>
            <w:sz w:val="18"/>
            <w:szCs w:val="18"/>
          </w:rPr>
          <w:t>8</w:t>
        </w:r>
        <w:r w:rsidRPr="0069547A">
          <w:rPr>
            <w:sz w:val="18"/>
          </w:rPr>
          <w:tab/>
        </w:r>
        <w:r w:rsidRPr="000F015B">
          <w:rPr>
            <w:sz w:val="18"/>
            <w:szCs w:val="18"/>
          </w:rPr>
          <w:fldChar w:fldCharType="begin"/>
        </w:r>
        <w:r w:rsidRPr="0069547A">
          <w:rPr>
            <w:sz w:val="18"/>
          </w:rPr>
          <w:instrText xml:space="preserve"> PAGE   \* MERGEFORMAT </w:instrText>
        </w:r>
        <w:r w:rsidRPr="000F015B">
          <w:rPr>
            <w:sz w:val="18"/>
          </w:rPr>
          <w:fldChar w:fldCharType="separate"/>
        </w:r>
        <w:r w:rsidR="00473556" w:rsidRPr="000F015B">
          <w:rPr>
            <w:noProof/>
            <w:sz w:val="18"/>
            <w:szCs w:val="18"/>
          </w:rPr>
          <w:t>5</w:t>
        </w:r>
        <w:r w:rsidRPr="000F015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11DF" w14:textId="77777777" w:rsidR="00D9519B" w:rsidRDefault="00D9519B" w:rsidP="00425BD7">
      <w:r>
        <w:separator/>
      </w:r>
    </w:p>
  </w:footnote>
  <w:footnote w:type="continuationSeparator" w:id="0">
    <w:p w14:paraId="03886280" w14:textId="77777777" w:rsidR="00D9519B" w:rsidRDefault="00D9519B" w:rsidP="00425BD7">
      <w:r>
        <w:continuationSeparator/>
      </w:r>
    </w:p>
  </w:footnote>
  <w:footnote w:id="1">
    <w:p w14:paraId="023D0CDA" w14:textId="3537B822" w:rsidR="00895C04" w:rsidRPr="00895C04" w:rsidRDefault="00895C04" w:rsidP="00895C04">
      <w:pPr>
        <w:pStyle w:val="FootnoteText"/>
        <w:spacing w:after="100"/>
        <w:ind w:left="634" w:hanging="274"/>
      </w:pPr>
      <w:r w:rsidRPr="00895C04">
        <w:rPr>
          <w:rStyle w:val="FootnoteReference"/>
          <w:vertAlign w:val="baseline"/>
        </w:rPr>
        <w:footnoteRef/>
      </w:r>
      <w:r w:rsidRPr="00895C04">
        <w:t xml:space="preserve"> </w:t>
      </w:r>
      <w:r w:rsidRPr="00895C04">
        <w:tab/>
        <w:t>1 TAC 202.</w:t>
      </w:r>
      <w:r w:rsidR="00F707F2">
        <w:t>24</w:t>
      </w:r>
      <w:r w:rsidRPr="00895C04">
        <w:t>(b)</w:t>
      </w:r>
      <w:r w:rsidR="00BE3F3B">
        <w:t>(1)</w:t>
      </w:r>
      <w:r w:rsidRPr="00895C04">
        <w:t>:</w:t>
      </w:r>
      <w:r w:rsidR="006A5942">
        <w:t xml:space="preserve"> </w:t>
      </w:r>
      <w:r w:rsidRPr="00895C04">
        <w:t>State agencies are responsible for defining all information classification categories except the Confidential Information category, which is defined in Subchapter A of this chapter, and establishing the appropriate controls for each.</w:t>
      </w:r>
    </w:p>
  </w:footnote>
  <w:footnote w:id="2">
    <w:p w14:paraId="7B22A8AF" w14:textId="359FD0C9" w:rsidR="00895C04" w:rsidRPr="001C6DFE" w:rsidRDefault="00895C04" w:rsidP="001C6DFE">
      <w:pPr>
        <w:tabs>
          <w:tab w:val="left" w:pos="630"/>
        </w:tabs>
        <w:spacing w:after="0" w:line="240" w:lineRule="auto"/>
        <w:ind w:left="630" w:hanging="270"/>
        <w:rPr>
          <w:rFonts w:eastAsia="Times New Roman" w:cs="Times New Roman"/>
          <w:sz w:val="20"/>
          <w:szCs w:val="20"/>
        </w:rPr>
      </w:pPr>
      <w:r w:rsidRPr="00895C04">
        <w:rPr>
          <w:rStyle w:val="FootnoteReference"/>
          <w:sz w:val="20"/>
          <w:szCs w:val="20"/>
          <w:vertAlign w:val="baseline"/>
        </w:rPr>
        <w:footnoteRef/>
      </w:r>
      <w:r>
        <w:rPr>
          <w:sz w:val="20"/>
          <w:szCs w:val="20"/>
        </w:rPr>
        <w:tab/>
      </w:r>
      <w:r w:rsidRPr="00895C04">
        <w:rPr>
          <w:sz w:val="20"/>
          <w:szCs w:val="20"/>
        </w:rPr>
        <w:t xml:space="preserve">1 </w:t>
      </w:r>
      <w:r w:rsidRPr="00895C04">
        <w:rPr>
          <w:rFonts w:eastAsia="Times New Roman" w:cs="Times New Roman"/>
          <w:sz w:val="20"/>
          <w:szCs w:val="20"/>
        </w:rPr>
        <w:t>TAC 202.1(</w:t>
      </w:r>
      <w:r w:rsidR="00BE3F3B">
        <w:rPr>
          <w:rFonts w:eastAsia="Times New Roman" w:cs="Times New Roman"/>
          <w:sz w:val="20"/>
          <w:szCs w:val="20"/>
        </w:rPr>
        <w:t>5</w:t>
      </w:r>
      <w:r w:rsidRPr="00895C04">
        <w:rPr>
          <w:rFonts w:eastAsia="Times New Roman" w:cs="Times New Roman"/>
          <w:sz w:val="20"/>
          <w:szCs w:val="20"/>
        </w:rPr>
        <w:t>): Confidential Information</w:t>
      </w:r>
      <w:r>
        <w:rPr>
          <w:rFonts w:eastAsia="Times New Roman" w:cs="Times New Roman"/>
          <w:sz w:val="20"/>
          <w:szCs w:val="20"/>
        </w:rPr>
        <w:t xml:space="preserve"> – </w:t>
      </w:r>
      <w:r w:rsidRPr="00895C04">
        <w:rPr>
          <w:rFonts w:eastAsia="Times New Roman" w:cs="Times New Roman"/>
          <w:sz w:val="20"/>
          <w:szCs w:val="20"/>
        </w:rPr>
        <w:t>Information that must be protected from unauthorized disclosure or public release based on state or federal law (e.g.</w:t>
      </w:r>
      <w:r>
        <w:rPr>
          <w:rFonts w:eastAsia="Times New Roman" w:cs="Times New Roman"/>
          <w:sz w:val="20"/>
          <w:szCs w:val="20"/>
        </w:rPr>
        <w:t>,</w:t>
      </w:r>
      <w:r w:rsidRPr="00895C04">
        <w:rPr>
          <w:rFonts w:eastAsia="Times New Roman" w:cs="Times New Roman"/>
          <w:sz w:val="20"/>
          <w:szCs w:val="20"/>
        </w:rPr>
        <w:t xml:space="preserve"> the Texas Public Information Act, and other constitutional, statutory, judicial, and legal agreement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D1658"/>
    <w:multiLevelType w:val="hybridMultilevel"/>
    <w:tmpl w:val="8ACC3BCA"/>
    <w:lvl w:ilvl="0" w:tplc="0E58C552">
      <w:start w:val="1"/>
      <w:numFmt w:val="upperLetter"/>
      <w:lvlText w:val="%1."/>
      <w:lvlJc w:val="left"/>
      <w:pPr>
        <w:ind w:left="960" w:hanging="48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44F51D68"/>
    <w:multiLevelType w:val="hybridMultilevel"/>
    <w:tmpl w:val="D012EF70"/>
    <w:lvl w:ilvl="0" w:tplc="2C9E15F4">
      <w:start w:val="1"/>
      <w:numFmt w:val="bullet"/>
      <w:pStyle w:val="ListParagraph"/>
      <w:lvlText w:val=""/>
      <w:lvlJc w:val="left"/>
      <w:pPr>
        <w:ind w:left="1440" w:hanging="360"/>
      </w:pPr>
      <w:rPr>
        <w:rFonts w:ascii="Symbol" w:hAnsi="Symbol"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F54A50"/>
    <w:multiLevelType w:val="multilevel"/>
    <w:tmpl w:val="F4700D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907C2"/>
    <w:multiLevelType w:val="hybridMultilevel"/>
    <w:tmpl w:val="ABF0A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F25F42"/>
    <w:multiLevelType w:val="hybridMultilevel"/>
    <w:tmpl w:val="89D051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E3F39"/>
    <w:multiLevelType w:val="hybridMultilevel"/>
    <w:tmpl w:val="FFDA0E50"/>
    <w:lvl w:ilvl="0" w:tplc="65EA1A4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BA"/>
    <w:rsid w:val="00006933"/>
    <w:rsid w:val="000101BE"/>
    <w:rsid w:val="00017FDB"/>
    <w:rsid w:val="0003750D"/>
    <w:rsid w:val="00037D04"/>
    <w:rsid w:val="00040F75"/>
    <w:rsid w:val="00060C67"/>
    <w:rsid w:val="000717C7"/>
    <w:rsid w:val="00077C92"/>
    <w:rsid w:val="0008718C"/>
    <w:rsid w:val="00095653"/>
    <w:rsid w:val="000B4121"/>
    <w:rsid w:val="000D30DA"/>
    <w:rsid w:val="000D7916"/>
    <w:rsid w:val="000F015B"/>
    <w:rsid w:val="000F326A"/>
    <w:rsid w:val="0010585B"/>
    <w:rsid w:val="00117F5F"/>
    <w:rsid w:val="00120A7A"/>
    <w:rsid w:val="0012640B"/>
    <w:rsid w:val="00134C2A"/>
    <w:rsid w:val="00134D13"/>
    <w:rsid w:val="001738A5"/>
    <w:rsid w:val="0018215F"/>
    <w:rsid w:val="001947B0"/>
    <w:rsid w:val="001A087F"/>
    <w:rsid w:val="001B1C94"/>
    <w:rsid w:val="001B4FF6"/>
    <w:rsid w:val="001C6DFE"/>
    <w:rsid w:val="001D3D98"/>
    <w:rsid w:val="001D7646"/>
    <w:rsid w:val="001F2E8F"/>
    <w:rsid w:val="00204D40"/>
    <w:rsid w:val="00205DA5"/>
    <w:rsid w:val="002168DD"/>
    <w:rsid w:val="00225AB3"/>
    <w:rsid w:val="002577E7"/>
    <w:rsid w:val="00260AC7"/>
    <w:rsid w:val="00265DBD"/>
    <w:rsid w:val="00267388"/>
    <w:rsid w:val="00276491"/>
    <w:rsid w:val="0027675B"/>
    <w:rsid w:val="00277E10"/>
    <w:rsid w:val="00280270"/>
    <w:rsid w:val="00285E56"/>
    <w:rsid w:val="002B417B"/>
    <w:rsid w:val="002B43F2"/>
    <w:rsid w:val="002C588F"/>
    <w:rsid w:val="002D3102"/>
    <w:rsid w:val="002F1AD0"/>
    <w:rsid w:val="002F2EFA"/>
    <w:rsid w:val="002F4A21"/>
    <w:rsid w:val="00322498"/>
    <w:rsid w:val="00327A31"/>
    <w:rsid w:val="00332EBC"/>
    <w:rsid w:val="00344BB1"/>
    <w:rsid w:val="003544BA"/>
    <w:rsid w:val="0035623C"/>
    <w:rsid w:val="00366FE9"/>
    <w:rsid w:val="00367D8E"/>
    <w:rsid w:val="00372BEC"/>
    <w:rsid w:val="003E2679"/>
    <w:rsid w:val="00415A7F"/>
    <w:rsid w:val="004212A8"/>
    <w:rsid w:val="00425BD7"/>
    <w:rsid w:val="00430625"/>
    <w:rsid w:val="00430C05"/>
    <w:rsid w:val="00437D2E"/>
    <w:rsid w:val="00437DE3"/>
    <w:rsid w:val="00454677"/>
    <w:rsid w:val="004562B6"/>
    <w:rsid w:val="00457649"/>
    <w:rsid w:val="00463ECF"/>
    <w:rsid w:val="00464DA6"/>
    <w:rsid w:val="00472DE3"/>
    <w:rsid w:val="00473556"/>
    <w:rsid w:val="004768D5"/>
    <w:rsid w:val="004A1709"/>
    <w:rsid w:val="004C5C06"/>
    <w:rsid w:val="004F5659"/>
    <w:rsid w:val="004F6E92"/>
    <w:rsid w:val="00506E4B"/>
    <w:rsid w:val="00514D6A"/>
    <w:rsid w:val="00547409"/>
    <w:rsid w:val="00555045"/>
    <w:rsid w:val="00557725"/>
    <w:rsid w:val="00561BB3"/>
    <w:rsid w:val="00587089"/>
    <w:rsid w:val="00590E15"/>
    <w:rsid w:val="00593254"/>
    <w:rsid w:val="005A6FDC"/>
    <w:rsid w:val="005B34A0"/>
    <w:rsid w:val="005B57A8"/>
    <w:rsid w:val="005B7241"/>
    <w:rsid w:val="005D0682"/>
    <w:rsid w:val="005D0920"/>
    <w:rsid w:val="005E35E6"/>
    <w:rsid w:val="005F197A"/>
    <w:rsid w:val="0060426C"/>
    <w:rsid w:val="006414B8"/>
    <w:rsid w:val="006478A9"/>
    <w:rsid w:val="006535F2"/>
    <w:rsid w:val="0065676D"/>
    <w:rsid w:val="0069547A"/>
    <w:rsid w:val="006A38AC"/>
    <w:rsid w:val="006A5942"/>
    <w:rsid w:val="006A69C7"/>
    <w:rsid w:val="006C6EE9"/>
    <w:rsid w:val="006D726B"/>
    <w:rsid w:val="006E4414"/>
    <w:rsid w:val="006E555B"/>
    <w:rsid w:val="0073060B"/>
    <w:rsid w:val="00730E82"/>
    <w:rsid w:val="00732D97"/>
    <w:rsid w:val="0074379A"/>
    <w:rsid w:val="007512A9"/>
    <w:rsid w:val="00754FA7"/>
    <w:rsid w:val="00756B18"/>
    <w:rsid w:val="00774598"/>
    <w:rsid w:val="007A41DE"/>
    <w:rsid w:val="007A47BA"/>
    <w:rsid w:val="007C0CBD"/>
    <w:rsid w:val="007C5779"/>
    <w:rsid w:val="007D5F16"/>
    <w:rsid w:val="007F5A11"/>
    <w:rsid w:val="008059CC"/>
    <w:rsid w:val="0084611D"/>
    <w:rsid w:val="00853D06"/>
    <w:rsid w:val="00857FA4"/>
    <w:rsid w:val="00862C8A"/>
    <w:rsid w:val="0087582B"/>
    <w:rsid w:val="0088219B"/>
    <w:rsid w:val="00895C04"/>
    <w:rsid w:val="008A1868"/>
    <w:rsid w:val="008A4754"/>
    <w:rsid w:val="008D3F96"/>
    <w:rsid w:val="008E4A25"/>
    <w:rsid w:val="00920B71"/>
    <w:rsid w:val="0092585A"/>
    <w:rsid w:val="00940483"/>
    <w:rsid w:val="00945E95"/>
    <w:rsid w:val="009511AE"/>
    <w:rsid w:val="00954E92"/>
    <w:rsid w:val="0096022B"/>
    <w:rsid w:val="00972B0B"/>
    <w:rsid w:val="009969A7"/>
    <w:rsid w:val="009A3CD8"/>
    <w:rsid w:val="009B1CDE"/>
    <w:rsid w:val="009D4466"/>
    <w:rsid w:val="009D502F"/>
    <w:rsid w:val="009E3379"/>
    <w:rsid w:val="009F15D5"/>
    <w:rsid w:val="009F26C9"/>
    <w:rsid w:val="00A019CE"/>
    <w:rsid w:val="00A302B6"/>
    <w:rsid w:val="00A305C4"/>
    <w:rsid w:val="00A4572A"/>
    <w:rsid w:val="00A52C1A"/>
    <w:rsid w:val="00A571AD"/>
    <w:rsid w:val="00A62B20"/>
    <w:rsid w:val="00A65175"/>
    <w:rsid w:val="00A803BA"/>
    <w:rsid w:val="00A846C0"/>
    <w:rsid w:val="00AD3237"/>
    <w:rsid w:val="00AD57BC"/>
    <w:rsid w:val="00AE6E59"/>
    <w:rsid w:val="00AF0A6F"/>
    <w:rsid w:val="00AF6D0B"/>
    <w:rsid w:val="00B0082E"/>
    <w:rsid w:val="00B10ABA"/>
    <w:rsid w:val="00B1591C"/>
    <w:rsid w:val="00B41806"/>
    <w:rsid w:val="00B438E8"/>
    <w:rsid w:val="00B855DC"/>
    <w:rsid w:val="00B85B4E"/>
    <w:rsid w:val="00B8618C"/>
    <w:rsid w:val="00B86FAE"/>
    <w:rsid w:val="00B96FAF"/>
    <w:rsid w:val="00BB71F4"/>
    <w:rsid w:val="00BC2C9C"/>
    <w:rsid w:val="00BD45EB"/>
    <w:rsid w:val="00BE20C3"/>
    <w:rsid w:val="00BE3F3B"/>
    <w:rsid w:val="00C07A3A"/>
    <w:rsid w:val="00C2718B"/>
    <w:rsid w:val="00C3757F"/>
    <w:rsid w:val="00C44A56"/>
    <w:rsid w:val="00C7410D"/>
    <w:rsid w:val="00C96FFA"/>
    <w:rsid w:val="00C97E39"/>
    <w:rsid w:val="00CA2213"/>
    <w:rsid w:val="00CB2AFA"/>
    <w:rsid w:val="00CB6E7D"/>
    <w:rsid w:val="00CE782F"/>
    <w:rsid w:val="00D064AF"/>
    <w:rsid w:val="00D167FA"/>
    <w:rsid w:val="00D1724F"/>
    <w:rsid w:val="00D203E5"/>
    <w:rsid w:val="00D351F3"/>
    <w:rsid w:val="00D36102"/>
    <w:rsid w:val="00D55069"/>
    <w:rsid w:val="00D55FE3"/>
    <w:rsid w:val="00D578C5"/>
    <w:rsid w:val="00D7264F"/>
    <w:rsid w:val="00D813B7"/>
    <w:rsid w:val="00D852BD"/>
    <w:rsid w:val="00D9519B"/>
    <w:rsid w:val="00DA1302"/>
    <w:rsid w:val="00DA3934"/>
    <w:rsid w:val="00DA463C"/>
    <w:rsid w:val="00DB5547"/>
    <w:rsid w:val="00DF1DEE"/>
    <w:rsid w:val="00DF31EA"/>
    <w:rsid w:val="00E0583C"/>
    <w:rsid w:val="00E23041"/>
    <w:rsid w:val="00E27AAB"/>
    <w:rsid w:val="00E40089"/>
    <w:rsid w:val="00E52E49"/>
    <w:rsid w:val="00E56A9A"/>
    <w:rsid w:val="00E5702B"/>
    <w:rsid w:val="00E57855"/>
    <w:rsid w:val="00E665BF"/>
    <w:rsid w:val="00E824A1"/>
    <w:rsid w:val="00E9036A"/>
    <w:rsid w:val="00ED5B78"/>
    <w:rsid w:val="00EE6FE3"/>
    <w:rsid w:val="00EF4F8C"/>
    <w:rsid w:val="00EF64DB"/>
    <w:rsid w:val="00F06112"/>
    <w:rsid w:val="00F06674"/>
    <w:rsid w:val="00F46CC5"/>
    <w:rsid w:val="00F61B9F"/>
    <w:rsid w:val="00F62EAA"/>
    <w:rsid w:val="00F707F2"/>
    <w:rsid w:val="00F81E7E"/>
    <w:rsid w:val="00F83455"/>
    <w:rsid w:val="00FA62E4"/>
    <w:rsid w:val="00FC21A8"/>
    <w:rsid w:val="00FC69C1"/>
    <w:rsid w:val="00FE4F30"/>
    <w:rsid w:val="00FE6058"/>
    <w:rsid w:val="00FF7CEF"/>
    <w:rsid w:val="07E35397"/>
    <w:rsid w:val="08174185"/>
    <w:rsid w:val="2B2B5109"/>
    <w:rsid w:val="370D8D1B"/>
    <w:rsid w:val="4FF52394"/>
    <w:rsid w:val="55F864F4"/>
    <w:rsid w:val="5EC023B5"/>
    <w:rsid w:val="6BF3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F688A"/>
  <w15:docId w15:val="{C3E7A99F-0023-4A94-B822-C248806A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1AD"/>
    <w:pPr>
      <w:autoSpaceDE w:val="0"/>
      <w:autoSpaceDN w:val="0"/>
      <w:adjustRightInd w:val="0"/>
      <w:spacing w:line="264" w:lineRule="auto"/>
      <w:ind w:left="360"/>
    </w:pPr>
    <w:rPr>
      <w:rFonts w:cstheme="minorHAnsi"/>
      <w:bCs/>
      <w:color w:val="262626" w:themeColor="text1" w:themeTint="D9"/>
      <w:szCs w:val="26"/>
    </w:rPr>
  </w:style>
  <w:style w:type="paragraph" w:styleId="Heading1">
    <w:name w:val="heading 1"/>
    <w:basedOn w:val="Normal"/>
    <w:next w:val="Normal"/>
    <w:link w:val="Heading1Char"/>
    <w:uiPriority w:val="9"/>
    <w:qFormat/>
    <w:rsid w:val="0008718C"/>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AE6E59"/>
    <w:pPr>
      <w:keepNext/>
      <w:keepLines/>
      <w:spacing w:after="150"/>
      <w:ind w:left="0"/>
      <w:outlineLvl w:val="1"/>
    </w:pPr>
    <w:rPr>
      <w:rFonts w:asciiTheme="majorHAnsi" w:eastAsia="Times New Roman" w:hAnsiTheme="majorHAnsi" w:cstheme="majorBidi"/>
      <w:b/>
      <w:bCs w:val="0"/>
      <w:color w:val="1F497D" w:themeColor="text2"/>
      <w:sz w:val="28"/>
    </w:rPr>
  </w:style>
  <w:style w:type="paragraph" w:styleId="Heading3">
    <w:name w:val="heading 3"/>
    <w:basedOn w:val="Normal"/>
    <w:next w:val="Normal"/>
    <w:link w:val="Heading3Char"/>
    <w:uiPriority w:val="9"/>
    <w:unhideWhenUsed/>
    <w:qFormat/>
    <w:rsid w:val="00AE6E59"/>
    <w:pPr>
      <w:keepNext/>
      <w:keepLines/>
      <w:spacing w:after="0"/>
      <w:outlineLvl w:val="2"/>
    </w:pPr>
    <w:rPr>
      <w:rFonts w:eastAsiaTheme="majorEastAsia" w:cstheme="majorBidi"/>
      <w:b/>
      <w:bCs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A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rsid w:val="00B10ABA"/>
    <w:rPr>
      <w:b/>
      <w:bCs/>
    </w:rPr>
  </w:style>
  <w:style w:type="paragraph" w:styleId="BodyTextIndent">
    <w:name w:val="Body Text Indent"/>
    <w:basedOn w:val="Normal"/>
    <w:link w:val="BodyTextIndentChar"/>
    <w:uiPriority w:val="99"/>
    <w:semiHidden/>
    <w:unhideWhenUsed/>
    <w:rsid w:val="00B10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10AB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10A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0AB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0ABA"/>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0AB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3060B"/>
    <w:pPr>
      <w:numPr>
        <w:numId w:val="4"/>
      </w:numPr>
      <w:ind w:left="720" w:hanging="180"/>
      <w:contextualSpacing/>
    </w:pPr>
  </w:style>
  <w:style w:type="paragraph" w:styleId="NoSpacing">
    <w:name w:val="No Spacing"/>
    <w:uiPriority w:val="1"/>
    <w:qFormat/>
    <w:rsid w:val="0073060B"/>
    <w:pPr>
      <w:spacing w:after="0" w:line="240" w:lineRule="auto"/>
      <w:ind w:left="360"/>
    </w:pPr>
  </w:style>
  <w:style w:type="character" w:styleId="SubtleEmphasis">
    <w:name w:val="Subtle Emphasis"/>
    <w:basedOn w:val="DefaultParagraphFont"/>
    <w:uiPriority w:val="19"/>
    <w:qFormat/>
    <w:rsid w:val="00593254"/>
    <w:rPr>
      <w:i/>
      <w:iCs/>
      <w:color w:val="808080" w:themeColor="text1" w:themeTint="7F"/>
    </w:rPr>
  </w:style>
  <w:style w:type="paragraph" w:styleId="Header">
    <w:name w:val="header"/>
    <w:basedOn w:val="Normal"/>
    <w:link w:val="HeaderChar"/>
    <w:uiPriority w:val="99"/>
    <w:unhideWhenUsed/>
    <w:rsid w:val="0008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18C"/>
  </w:style>
  <w:style w:type="paragraph" w:styleId="Footer">
    <w:name w:val="footer"/>
    <w:basedOn w:val="Normal"/>
    <w:link w:val="FooterChar"/>
    <w:uiPriority w:val="99"/>
    <w:unhideWhenUsed/>
    <w:rsid w:val="0008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18C"/>
  </w:style>
  <w:style w:type="character" w:customStyle="1" w:styleId="Heading1Char">
    <w:name w:val="Heading 1 Char"/>
    <w:basedOn w:val="DefaultParagraphFont"/>
    <w:link w:val="Heading1"/>
    <w:uiPriority w:val="9"/>
    <w:rsid w:val="000871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718C"/>
    <w:pPr>
      <w:outlineLvl w:val="9"/>
    </w:pPr>
    <w:rPr>
      <w:lang w:eastAsia="ja-JP"/>
    </w:rPr>
  </w:style>
  <w:style w:type="paragraph" w:styleId="BalloonText">
    <w:name w:val="Balloon Text"/>
    <w:basedOn w:val="Normal"/>
    <w:link w:val="BalloonTextChar"/>
    <w:uiPriority w:val="99"/>
    <w:semiHidden/>
    <w:unhideWhenUsed/>
    <w:rsid w:val="00087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8C"/>
    <w:rPr>
      <w:rFonts w:ascii="Tahoma" w:hAnsi="Tahoma" w:cs="Tahoma"/>
      <w:sz w:val="16"/>
      <w:szCs w:val="16"/>
    </w:rPr>
  </w:style>
  <w:style w:type="character" w:customStyle="1" w:styleId="Heading2Char">
    <w:name w:val="Heading 2 Char"/>
    <w:basedOn w:val="DefaultParagraphFont"/>
    <w:link w:val="Heading2"/>
    <w:uiPriority w:val="9"/>
    <w:rsid w:val="00AE6E59"/>
    <w:rPr>
      <w:rFonts w:asciiTheme="majorHAnsi" w:eastAsia="Times New Roman" w:hAnsiTheme="majorHAnsi" w:cstheme="majorBidi"/>
      <w:b/>
      <w:color w:val="1F497D" w:themeColor="text2"/>
      <w:sz w:val="28"/>
      <w:szCs w:val="26"/>
    </w:rPr>
  </w:style>
  <w:style w:type="paragraph" w:styleId="TOC2">
    <w:name w:val="toc 2"/>
    <w:basedOn w:val="Normal"/>
    <w:next w:val="Normal"/>
    <w:autoRedefine/>
    <w:uiPriority w:val="39"/>
    <w:unhideWhenUsed/>
    <w:rsid w:val="00A305C4"/>
    <w:pPr>
      <w:tabs>
        <w:tab w:val="right" w:leader="dot" w:pos="9090"/>
      </w:tabs>
      <w:spacing w:after="0" w:line="240" w:lineRule="auto"/>
    </w:pPr>
  </w:style>
  <w:style w:type="character" w:styleId="Hyperlink">
    <w:name w:val="Hyperlink"/>
    <w:basedOn w:val="DefaultParagraphFont"/>
    <w:uiPriority w:val="99"/>
    <w:unhideWhenUsed/>
    <w:rsid w:val="0008718C"/>
    <w:rPr>
      <w:color w:val="0000FF" w:themeColor="hyperlink"/>
      <w:u w:val="single"/>
    </w:rPr>
  </w:style>
  <w:style w:type="paragraph" w:styleId="FootnoteText">
    <w:name w:val="footnote text"/>
    <w:basedOn w:val="Normal"/>
    <w:link w:val="FootnoteTextChar"/>
    <w:uiPriority w:val="99"/>
    <w:unhideWhenUsed/>
    <w:qFormat/>
    <w:rsid w:val="00895C04"/>
    <w:pPr>
      <w:tabs>
        <w:tab w:val="left" w:pos="630"/>
      </w:tabs>
      <w:spacing w:after="0" w:line="240" w:lineRule="auto"/>
      <w:ind w:left="630" w:hanging="270"/>
    </w:pPr>
    <w:rPr>
      <w:rFonts w:eastAsia="Times New Roman" w:cs="Times New Roman"/>
      <w:sz w:val="20"/>
      <w:szCs w:val="20"/>
    </w:rPr>
  </w:style>
  <w:style w:type="character" w:customStyle="1" w:styleId="FootnoteTextChar">
    <w:name w:val="Footnote Text Char"/>
    <w:basedOn w:val="DefaultParagraphFont"/>
    <w:link w:val="FootnoteText"/>
    <w:uiPriority w:val="99"/>
    <w:rsid w:val="00895C04"/>
    <w:rPr>
      <w:rFonts w:eastAsia="Times New Roman" w:cs="Times New Roman"/>
      <w:bCs/>
      <w:color w:val="262626" w:themeColor="text1" w:themeTint="D9"/>
      <w:sz w:val="20"/>
      <w:szCs w:val="20"/>
    </w:rPr>
  </w:style>
  <w:style w:type="character" w:styleId="FootnoteReference">
    <w:name w:val="footnote reference"/>
    <w:basedOn w:val="DefaultParagraphFont"/>
    <w:uiPriority w:val="99"/>
    <w:semiHidden/>
    <w:unhideWhenUsed/>
    <w:rsid w:val="00F46CC5"/>
    <w:rPr>
      <w:vertAlign w:val="superscript"/>
    </w:rPr>
  </w:style>
  <w:style w:type="paragraph" w:customStyle="1" w:styleId="Table1">
    <w:name w:val="Table 1"/>
    <w:basedOn w:val="Normal"/>
    <w:link w:val="Table1Char"/>
    <w:qFormat/>
    <w:rsid w:val="0073060B"/>
    <w:pPr>
      <w:spacing w:after="0" w:line="240" w:lineRule="auto"/>
      <w:ind w:left="0"/>
    </w:pPr>
  </w:style>
  <w:style w:type="character" w:customStyle="1" w:styleId="Heading3Char">
    <w:name w:val="Heading 3 Char"/>
    <w:basedOn w:val="DefaultParagraphFont"/>
    <w:link w:val="Heading3"/>
    <w:uiPriority w:val="9"/>
    <w:rsid w:val="00AE6E59"/>
    <w:rPr>
      <w:rFonts w:eastAsiaTheme="majorEastAsia" w:cstheme="majorBidi"/>
      <w:b/>
      <w:color w:val="1F497D" w:themeColor="text2"/>
      <w:sz w:val="24"/>
      <w:szCs w:val="26"/>
    </w:rPr>
  </w:style>
  <w:style w:type="character" w:customStyle="1" w:styleId="Table1Char">
    <w:name w:val="Table 1 Char"/>
    <w:basedOn w:val="DefaultParagraphFont"/>
    <w:link w:val="Table1"/>
    <w:rsid w:val="0073060B"/>
    <w:rPr>
      <w:rFonts w:cstheme="minorHAnsi"/>
      <w:bCs/>
      <w:color w:val="262626" w:themeColor="text1" w:themeTint="D9"/>
      <w:szCs w:val="26"/>
    </w:rPr>
  </w:style>
  <w:style w:type="table" w:styleId="TableGrid">
    <w:name w:val="Table Grid"/>
    <w:basedOn w:val="TableNormal"/>
    <w:uiPriority w:val="59"/>
    <w:rsid w:val="0009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351F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040F75"/>
    <w:rPr>
      <w:sz w:val="16"/>
      <w:szCs w:val="16"/>
    </w:rPr>
  </w:style>
  <w:style w:type="paragraph" w:styleId="CommentText">
    <w:name w:val="annotation text"/>
    <w:basedOn w:val="Normal"/>
    <w:link w:val="CommentTextChar"/>
    <w:uiPriority w:val="99"/>
    <w:semiHidden/>
    <w:unhideWhenUsed/>
    <w:rsid w:val="00040F75"/>
    <w:pPr>
      <w:spacing w:line="240" w:lineRule="auto"/>
    </w:pPr>
    <w:rPr>
      <w:sz w:val="20"/>
      <w:szCs w:val="20"/>
    </w:rPr>
  </w:style>
  <w:style w:type="character" w:customStyle="1" w:styleId="CommentTextChar">
    <w:name w:val="Comment Text Char"/>
    <w:basedOn w:val="DefaultParagraphFont"/>
    <w:link w:val="CommentText"/>
    <w:uiPriority w:val="99"/>
    <w:semiHidden/>
    <w:rsid w:val="00040F75"/>
    <w:rPr>
      <w:rFonts w:cstheme="minorHAnsi"/>
      <w:bCs/>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040F75"/>
    <w:rPr>
      <w:b/>
    </w:rPr>
  </w:style>
  <w:style w:type="character" w:customStyle="1" w:styleId="CommentSubjectChar">
    <w:name w:val="Comment Subject Char"/>
    <w:basedOn w:val="CommentTextChar"/>
    <w:link w:val="CommentSubject"/>
    <w:uiPriority w:val="99"/>
    <w:semiHidden/>
    <w:rsid w:val="00040F75"/>
    <w:rPr>
      <w:rFonts w:cstheme="minorHAnsi"/>
      <w:b/>
      <w:bCs/>
      <w:color w:val="262626" w:themeColor="text1" w:themeTint="D9"/>
      <w:sz w:val="20"/>
      <w:szCs w:val="20"/>
    </w:rPr>
  </w:style>
  <w:style w:type="paragraph" w:styleId="Revision">
    <w:name w:val="Revision"/>
    <w:hidden/>
    <w:uiPriority w:val="99"/>
    <w:semiHidden/>
    <w:rsid w:val="001D7646"/>
    <w:pPr>
      <w:spacing w:after="0" w:line="240" w:lineRule="auto"/>
    </w:pPr>
    <w:rPr>
      <w:rFonts w:cstheme="minorHAnsi"/>
      <w:bCs/>
      <w:color w:val="262626" w:themeColor="text1" w:themeTint="D9"/>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5039">
      <w:bodyDiv w:val="1"/>
      <w:marLeft w:val="0"/>
      <w:marRight w:val="0"/>
      <w:marTop w:val="0"/>
      <w:marBottom w:val="0"/>
      <w:divBdr>
        <w:top w:val="none" w:sz="0" w:space="0" w:color="auto"/>
        <w:left w:val="none" w:sz="0" w:space="0" w:color="auto"/>
        <w:bottom w:val="none" w:sz="0" w:space="0" w:color="auto"/>
        <w:right w:val="none" w:sz="0" w:space="0" w:color="auto"/>
      </w:divBdr>
    </w:div>
    <w:div w:id="245967441">
      <w:bodyDiv w:val="1"/>
      <w:marLeft w:val="0"/>
      <w:marRight w:val="0"/>
      <w:marTop w:val="0"/>
      <w:marBottom w:val="0"/>
      <w:divBdr>
        <w:top w:val="none" w:sz="0" w:space="0" w:color="auto"/>
        <w:left w:val="none" w:sz="0" w:space="0" w:color="auto"/>
        <w:bottom w:val="none" w:sz="0" w:space="0" w:color="auto"/>
        <w:right w:val="none" w:sz="0" w:space="0" w:color="auto"/>
      </w:divBdr>
    </w:div>
    <w:div w:id="254215026">
      <w:bodyDiv w:val="1"/>
      <w:marLeft w:val="0"/>
      <w:marRight w:val="0"/>
      <w:marTop w:val="0"/>
      <w:marBottom w:val="0"/>
      <w:divBdr>
        <w:top w:val="none" w:sz="0" w:space="0" w:color="auto"/>
        <w:left w:val="none" w:sz="0" w:space="0" w:color="auto"/>
        <w:bottom w:val="none" w:sz="0" w:space="0" w:color="auto"/>
        <w:right w:val="none" w:sz="0" w:space="0" w:color="auto"/>
      </w:divBdr>
    </w:div>
    <w:div w:id="504051051">
      <w:bodyDiv w:val="1"/>
      <w:marLeft w:val="0"/>
      <w:marRight w:val="0"/>
      <w:marTop w:val="0"/>
      <w:marBottom w:val="0"/>
      <w:divBdr>
        <w:top w:val="none" w:sz="0" w:space="0" w:color="auto"/>
        <w:left w:val="none" w:sz="0" w:space="0" w:color="auto"/>
        <w:bottom w:val="none" w:sz="0" w:space="0" w:color="auto"/>
        <w:right w:val="none" w:sz="0" w:space="0" w:color="auto"/>
      </w:divBdr>
    </w:div>
    <w:div w:id="558248451">
      <w:bodyDiv w:val="1"/>
      <w:marLeft w:val="0"/>
      <w:marRight w:val="0"/>
      <w:marTop w:val="0"/>
      <w:marBottom w:val="0"/>
      <w:divBdr>
        <w:top w:val="none" w:sz="0" w:space="0" w:color="auto"/>
        <w:left w:val="none" w:sz="0" w:space="0" w:color="auto"/>
        <w:bottom w:val="none" w:sz="0" w:space="0" w:color="auto"/>
        <w:right w:val="none" w:sz="0" w:space="0" w:color="auto"/>
      </w:divBdr>
    </w:div>
    <w:div w:id="601184209">
      <w:bodyDiv w:val="1"/>
      <w:marLeft w:val="0"/>
      <w:marRight w:val="0"/>
      <w:marTop w:val="0"/>
      <w:marBottom w:val="0"/>
      <w:divBdr>
        <w:top w:val="none" w:sz="0" w:space="0" w:color="auto"/>
        <w:left w:val="none" w:sz="0" w:space="0" w:color="auto"/>
        <w:bottom w:val="none" w:sz="0" w:space="0" w:color="auto"/>
        <w:right w:val="none" w:sz="0" w:space="0" w:color="auto"/>
      </w:divBdr>
    </w:div>
    <w:div w:id="642008754">
      <w:bodyDiv w:val="1"/>
      <w:marLeft w:val="0"/>
      <w:marRight w:val="0"/>
      <w:marTop w:val="0"/>
      <w:marBottom w:val="0"/>
      <w:divBdr>
        <w:top w:val="none" w:sz="0" w:space="0" w:color="auto"/>
        <w:left w:val="none" w:sz="0" w:space="0" w:color="auto"/>
        <w:bottom w:val="none" w:sz="0" w:space="0" w:color="auto"/>
        <w:right w:val="none" w:sz="0" w:space="0" w:color="auto"/>
      </w:divBdr>
    </w:div>
    <w:div w:id="848720543">
      <w:bodyDiv w:val="1"/>
      <w:marLeft w:val="0"/>
      <w:marRight w:val="0"/>
      <w:marTop w:val="0"/>
      <w:marBottom w:val="0"/>
      <w:divBdr>
        <w:top w:val="none" w:sz="0" w:space="0" w:color="auto"/>
        <w:left w:val="none" w:sz="0" w:space="0" w:color="auto"/>
        <w:bottom w:val="none" w:sz="0" w:space="0" w:color="auto"/>
        <w:right w:val="none" w:sz="0" w:space="0" w:color="auto"/>
      </w:divBdr>
    </w:div>
    <w:div w:id="947587979">
      <w:bodyDiv w:val="1"/>
      <w:marLeft w:val="0"/>
      <w:marRight w:val="0"/>
      <w:marTop w:val="0"/>
      <w:marBottom w:val="0"/>
      <w:divBdr>
        <w:top w:val="none" w:sz="0" w:space="0" w:color="auto"/>
        <w:left w:val="none" w:sz="0" w:space="0" w:color="auto"/>
        <w:bottom w:val="none" w:sz="0" w:space="0" w:color="auto"/>
        <w:right w:val="none" w:sz="0" w:space="0" w:color="auto"/>
      </w:divBdr>
    </w:div>
    <w:div w:id="1092775334">
      <w:bodyDiv w:val="1"/>
      <w:marLeft w:val="0"/>
      <w:marRight w:val="0"/>
      <w:marTop w:val="0"/>
      <w:marBottom w:val="0"/>
      <w:divBdr>
        <w:top w:val="none" w:sz="0" w:space="0" w:color="auto"/>
        <w:left w:val="none" w:sz="0" w:space="0" w:color="auto"/>
        <w:bottom w:val="none" w:sz="0" w:space="0" w:color="auto"/>
        <w:right w:val="none" w:sz="0" w:space="0" w:color="auto"/>
      </w:divBdr>
    </w:div>
    <w:div w:id="1237669002">
      <w:bodyDiv w:val="1"/>
      <w:marLeft w:val="0"/>
      <w:marRight w:val="0"/>
      <w:marTop w:val="0"/>
      <w:marBottom w:val="0"/>
      <w:divBdr>
        <w:top w:val="none" w:sz="0" w:space="0" w:color="auto"/>
        <w:left w:val="none" w:sz="0" w:space="0" w:color="auto"/>
        <w:bottom w:val="none" w:sz="0" w:space="0" w:color="auto"/>
        <w:right w:val="none" w:sz="0" w:space="0" w:color="auto"/>
      </w:divBdr>
    </w:div>
    <w:div w:id="1419251780">
      <w:bodyDiv w:val="1"/>
      <w:marLeft w:val="0"/>
      <w:marRight w:val="0"/>
      <w:marTop w:val="0"/>
      <w:marBottom w:val="0"/>
      <w:divBdr>
        <w:top w:val="none" w:sz="0" w:space="0" w:color="auto"/>
        <w:left w:val="none" w:sz="0" w:space="0" w:color="auto"/>
        <w:bottom w:val="none" w:sz="0" w:space="0" w:color="auto"/>
        <w:right w:val="none" w:sz="0" w:space="0" w:color="auto"/>
      </w:divBdr>
    </w:div>
    <w:div w:id="1464343435">
      <w:bodyDiv w:val="1"/>
      <w:marLeft w:val="0"/>
      <w:marRight w:val="0"/>
      <w:marTop w:val="0"/>
      <w:marBottom w:val="0"/>
      <w:divBdr>
        <w:top w:val="none" w:sz="0" w:space="0" w:color="auto"/>
        <w:left w:val="none" w:sz="0" w:space="0" w:color="auto"/>
        <w:bottom w:val="none" w:sz="0" w:space="0" w:color="auto"/>
        <w:right w:val="none" w:sz="0" w:space="0" w:color="auto"/>
      </w:divBdr>
    </w:div>
    <w:div w:id="1508211093">
      <w:bodyDiv w:val="1"/>
      <w:marLeft w:val="0"/>
      <w:marRight w:val="0"/>
      <w:marTop w:val="0"/>
      <w:marBottom w:val="0"/>
      <w:divBdr>
        <w:top w:val="none" w:sz="0" w:space="0" w:color="auto"/>
        <w:left w:val="none" w:sz="0" w:space="0" w:color="auto"/>
        <w:bottom w:val="none" w:sz="0" w:space="0" w:color="auto"/>
        <w:right w:val="none" w:sz="0" w:space="0" w:color="auto"/>
      </w:divBdr>
    </w:div>
    <w:div w:id="1544095380">
      <w:bodyDiv w:val="1"/>
      <w:marLeft w:val="0"/>
      <w:marRight w:val="0"/>
      <w:marTop w:val="0"/>
      <w:marBottom w:val="0"/>
      <w:divBdr>
        <w:top w:val="none" w:sz="0" w:space="0" w:color="auto"/>
        <w:left w:val="none" w:sz="0" w:space="0" w:color="auto"/>
        <w:bottom w:val="none" w:sz="0" w:space="0" w:color="auto"/>
        <w:right w:val="none" w:sz="0" w:space="0" w:color="auto"/>
      </w:divBdr>
    </w:div>
    <w:div w:id="1607033462">
      <w:bodyDiv w:val="1"/>
      <w:marLeft w:val="0"/>
      <w:marRight w:val="0"/>
      <w:marTop w:val="0"/>
      <w:marBottom w:val="0"/>
      <w:divBdr>
        <w:top w:val="none" w:sz="0" w:space="0" w:color="auto"/>
        <w:left w:val="none" w:sz="0" w:space="0" w:color="auto"/>
        <w:bottom w:val="none" w:sz="0" w:space="0" w:color="auto"/>
        <w:right w:val="none" w:sz="0" w:space="0" w:color="auto"/>
      </w:divBdr>
    </w:div>
    <w:div w:id="1689478554">
      <w:bodyDiv w:val="1"/>
      <w:marLeft w:val="0"/>
      <w:marRight w:val="0"/>
      <w:marTop w:val="0"/>
      <w:marBottom w:val="0"/>
      <w:divBdr>
        <w:top w:val="none" w:sz="0" w:space="0" w:color="auto"/>
        <w:left w:val="none" w:sz="0" w:space="0" w:color="auto"/>
        <w:bottom w:val="none" w:sz="0" w:space="0" w:color="auto"/>
        <w:right w:val="none" w:sz="0" w:space="0" w:color="auto"/>
      </w:divBdr>
    </w:div>
    <w:div w:id="1721250553">
      <w:bodyDiv w:val="1"/>
      <w:marLeft w:val="0"/>
      <w:marRight w:val="0"/>
      <w:marTop w:val="0"/>
      <w:marBottom w:val="0"/>
      <w:divBdr>
        <w:top w:val="none" w:sz="0" w:space="0" w:color="auto"/>
        <w:left w:val="none" w:sz="0" w:space="0" w:color="auto"/>
        <w:bottom w:val="none" w:sz="0" w:space="0" w:color="auto"/>
        <w:right w:val="none" w:sz="0" w:space="0" w:color="auto"/>
      </w:divBdr>
    </w:div>
    <w:div w:id="1734084051">
      <w:bodyDiv w:val="1"/>
      <w:marLeft w:val="0"/>
      <w:marRight w:val="0"/>
      <w:marTop w:val="0"/>
      <w:marBottom w:val="0"/>
      <w:divBdr>
        <w:top w:val="none" w:sz="0" w:space="0" w:color="auto"/>
        <w:left w:val="none" w:sz="0" w:space="0" w:color="auto"/>
        <w:bottom w:val="none" w:sz="0" w:space="0" w:color="auto"/>
        <w:right w:val="none" w:sz="0" w:space="0" w:color="auto"/>
      </w:divBdr>
    </w:div>
    <w:div w:id="19428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RDepartment xmlns="1624d5a5-934e-431c-bdeb-2205adc15921">Information Security</DIRDepartment>
    <TSLACType xmlns="1624d5a5-934e-431c-bdeb-2205adc15921">Manuals and Instructions</TSLACType>
    <TSLACSubject xmlns="1624d5a5-934e-431c-bdeb-2205adc15921">
      <Value>Executive Departments</Value>
      <Value>Government Information</Value>
      <Value>State Governments</Value>
    </TSLACSubject>
    <DocumentSummary xmlns="1624d5a5-934e-431c-bdeb-2205adc15921">DIR: OCISO: Texas Cybersecurity Framework: Data Classification Guide: Identifying the goals, processes and benefits of data classification (March 2014)</DocumentSummary>
    <DocumentPublishDate xmlns="1624d5a5-934e-431c-bdeb-2205adc15921">2014-04-25T05:00:00+00:00</DocumentPublishDate>
    <SearchSummary xmlns="1624d5a5-934e-431c-bdeb-2205adc15921">DIR: OCISO: Texas Cybersecurity Framework: Data Classification Guide: Identifying the goals, processes and benefits of data classification (March 2014)</SearchSummary>
    <DocumentExtension xmlns="1624d5a5-934e-431c-bdeb-2205adc15921">docx</DocumentExtension>
    <DocumentCategory xmlns="1624d5a5-934e-431c-bdeb-2205adc15921">Guidelines</DocumentCategory>
    <RedirectURL xmlns="1624d5a5-934e-431c-bdeb-2205adc15921">/portal/internal/resources/DocumentLibrary/Data Classification Guide v1.1.docx</RedirectURL>
    <DocumentSize xmlns="1624d5a5-934e-431c-bdeb-2205adc15921">69.947229812</DocumentSize>
    <SearchKeywords xmlns="1624d5a5-934e-431c-bdeb-2205adc15921">Data Classification Guide, Texas Cybersecurity Framework</SearchKeywords>
    <TaxCatchAll xmlns="1624d5a5-934e-431c-bdeb-2205adc15921"/>
    <TaxKeywordTaxHTField xmlns="1624d5a5-934e-431c-bdeb-2205adc1592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50BC-AB5E-4F58-AEDA-05F934F043E2}">
  <ds:schemaRefs>
    <ds:schemaRef ds:uri="http://schemas.microsoft.com/sharepoint/v3/contenttype/forms"/>
  </ds:schemaRefs>
</ds:datastoreItem>
</file>

<file path=customXml/itemProps2.xml><?xml version="1.0" encoding="utf-8"?>
<ds:datastoreItem xmlns:ds="http://schemas.openxmlformats.org/officeDocument/2006/customXml" ds:itemID="{44B8E270-0E20-4E82-8709-308EBAF3B0EC}">
  <ds:schemaRefs>
    <ds:schemaRef ds:uri="http://schemas.microsoft.com/office/infopath/2007/PartnerControls"/>
    <ds:schemaRef ds:uri="http://purl.org/dc/terms/"/>
    <ds:schemaRef ds:uri="http://schemas.microsoft.com/office/2006/documentManagement/types"/>
    <ds:schemaRef ds:uri="1624d5a5-934e-431c-bdeb-2205adc15921"/>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465A34C-095F-4119-A240-520AEE099D74}"/>
</file>

<file path=customXml/itemProps4.xml><?xml version="1.0" encoding="utf-8"?>
<ds:datastoreItem xmlns:ds="http://schemas.openxmlformats.org/officeDocument/2006/customXml" ds:itemID="{782A2033-151C-4E6B-9404-86464318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Data Classification Guide</vt:lpstr>
    </vt:vector>
  </TitlesOfParts>
  <Company>Texas Department of Information Resources</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Classification Guide v1.1</dc:title>
  <dc:creator>Eddie Block</dc:creator>
  <cp:keywords/>
  <dc:description>Data Classification Guide, Texas Cybersecurity Framework</dc:description>
  <cp:lastModifiedBy>Matthew Kelly</cp:lastModifiedBy>
  <cp:revision>2</cp:revision>
  <cp:lastPrinted>2014-03-25T17:54:00Z</cp:lastPrinted>
  <dcterms:created xsi:type="dcterms:W3CDTF">2018-07-09T12:52:00Z</dcterms:created>
  <dcterms:modified xsi:type="dcterms:W3CDTF">2018-07-09T12:52:00Z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5;4e7f0d7b-af58-4d14-a711-25a4e8942f2a,5;4e7f0d7b-af58-4d14-a711-25a4e8942f2a,5;4e7f0d7b-af58-4d14-a711-25a4e8942f2a,5;4e7f0d7b-af58-4d14-a711-25a4e8942f2a,5;4e7f0d7b-af58-4d14-a711-25a4e8942f2a,5;4e7f0d7b-af58-4d14-a74e7f0d7b-af58-4d14-a711-25a4e8942f2a,3;4e7f0d7b-af58-4d14-a711-25a4e8942f2a,3;4e7f0d7b-af58-4d14-a711-25a4e8942f2a,3;4e7f0d7b-af58-4d14-a711-25a4e8942f2a,3;4e7f0d7b-af58-4d14-a711-25a4e8942f2a,3;4e7f0d7b-af58-4d14-a711-25a4e8942f2a,3;4e7f0d7b-af58-4d14-a711-25a4e8942f2a,3;</vt:lpwstr>
  </property>
  <property fmtid="{D5CDD505-2E9C-101B-9397-08002B2CF9AE}" pid="4" name="TaxKeyword">
    <vt:lpwstr/>
  </property>
</Properties>
</file>