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704AE" w14:textId="77777777" w:rsidR="000B2A37" w:rsidRDefault="0091297B">
      <w:pPr>
        <w:pStyle w:val="BodyText"/>
        <w:spacing w:before="39"/>
        <w:ind w:left="120" w:right="1355"/>
      </w:pPr>
      <w:r>
        <w:rPr>
          <w:color w:val="006FC0"/>
        </w:rPr>
        <w:t>Texas Department of Information Resources (Agency #313), Report Regarding Staff Compensation</w:t>
      </w:r>
    </w:p>
    <w:p w14:paraId="44C704AF" w14:textId="77777777" w:rsidR="000B2A37" w:rsidRDefault="0091297B">
      <w:pPr>
        <w:pStyle w:val="Title"/>
        <w:tabs>
          <w:tab w:val="left" w:pos="9479"/>
        </w:tabs>
      </w:pPr>
      <w:r>
        <w:rPr>
          <w:color w:val="365F91"/>
        </w:rPr>
        <w:t xml:space="preserve">Texas Government Code, Chapter 659, as amended by HB 12 </w:t>
      </w:r>
      <w:r>
        <w:rPr>
          <w:color w:val="365F91"/>
          <w:u w:val="single" w:color="000000"/>
        </w:rPr>
        <w:t>(83R Legislature, Regular</w:t>
      </w:r>
      <w:r>
        <w:rPr>
          <w:color w:val="365F91"/>
          <w:spacing w:val="-12"/>
          <w:u w:val="single" w:color="000000"/>
        </w:rPr>
        <w:t xml:space="preserve"> </w:t>
      </w:r>
      <w:r>
        <w:rPr>
          <w:color w:val="365F91"/>
          <w:u w:val="single" w:color="000000"/>
        </w:rPr>
        <w:t>Session)</w:t>
      </w:r>
      <w:r>
        <w:rPr>
          <w:color w:val="365F91"/>
          <w:u w:val="single" w:color="000000"/>
        </w:rPr>
        <w:tab/>
      </w:r>
    </w:p>
    <w:p w14:paraId="44C704B0" w14:textId="77777777" w:rsidR="000B2A37" w:rsidRDefault="0091297B">
      <w:pPr>
        <w:pStyle w:val="Heading1"/>
        <w:spacing w:before="154"/>
        <w:ind w:right="549"/>
      </w:pPr>
      <w:r>
        <w:rPr>
          <w:color w:val="4F81BC"/>
        </w:rPr>
        <w:t>The following information is provided to fulfill the requirements of House Bill 12 83</w:t>
      </w:r>
      <w:r>
        <w:rPr>
          <w:color w:val="4F81BC"/>
          <w:position w:val="6"/>
          <w:sz w:val="16"/>
        </w:rPr>
        <w:t xml:space="preserve">rd </w:t>
      </w:r>
      <w:r>
        <w:rPr>
          <w:color w:val="4F81BC"/>
        </w:rPr>
        <w:t>Texas Legislature Government Code Section 659.026 (b)</w:t>
      </w:r>
    </w:p>
    <w:p w14:paraId="44C704B1" w14:textId="77777777" w:rsidR="000B2A37" w:rsidRDefault="000B2A37">
      <w:pPr>
        <w:pStyle w:val="BodyText"/>
        <w:rPr>
          <w:rFonts w:ascii="Cambria"/>
          <w:b/>
        </w:rPr>
      </w:pPr>
    </w:p>
    <w:p w14:paraId="44C704B2" w14:textId="77777777" w:rsidR="000B2A37" w:rsidRDefault="0091297B">
      <w:pPr>
        <w:spacing w:before="1"/>
        <w:ind w:left="120" w:right="480"/>
        <w:rPr>
          <w:rFonts w:ascii="Cambria"/>
          <w:b/>
          <w:sz w:val="24"/>
        </w:rPr>
      </w:pPr>
      <w:r>
        <w:rPr>
          <w:rFonts w:ascii="Cambria"/>
          <w:b/>
          <w:color w:val="4F81BC"/>
          <w:sz w:val="24"/>
        </w:rPr>
        <w:t>Texas Government Code, Section 659.0201-Gifts, Grants, and Donations for Salary Supplement; Reporting</w:t>
      </w:r>
    </w:p>
    <w:p w14:paraId="44C704B3" w14:textId="77777777" w:rsidR="000B2A37" w:rsidRDefault="000B2A37">
      <w:pPr>
        <w:pStyle w:val="BodyText"/>
        <w:rPr>
          <w:rFonts w:ascii="Cambria"/>
          <w:b/>
        </w:rPr>
      </w:pPr>
    </w:p>
    <w:p w14:paraId="44C704B4" w14:textId="77777777" w:rsidR="000B2A37" w:rsidRDefault="0091297B">
      <w:pPr>
        <w:pStyle w:val="BodyText"/>
        <w:ind w:left="119" w:right="183"/>
        <w:rPr>
          <w:rFonts w:ascii="Cambria"/>
          <w:b/>
        </w:rPr>
      </w:pPr>
      <w:r>
        <w:t>Reporting under Texas Government Code, Section 659.0201 is not applicable as the Department of Information Resources (Department) does not accept gifts, grants, donations or other considerations from a person that the person designates to be used as a salary supplement for an employee of the DIR</w:t>
      </w:r>
      <w:r>
        <w:rPr>
          <w:rFonts w:ascii="Cambria"/>
          <w:b/>
          <w:color w:val="4F81BC"/>
        </w:rPr>
        <w:t>.</w:t>
      </w:r>
    </w:p>
    <w:p w14:paraId="44C704B5" w14:textId="77777777" w:rsidR="000B2A37" w:rsidRDefault="000B2A37">
      <w:pPr>
        <w:pStyle w:val="BodyText"/>
        <w:spacing w:before="10"/>
        <w:rPr>
          <w:rFonts w:ascii="Cambria"/>
          <w:b/>
          <w:sz w:val="23"/>
        </w:rPr>
      </w:pPr>
    </w:p>
    <w:p w14:paraId="44C704B6" w14:textId="77777777" w:rsidR="000B2A37" w:rsidRDefault="0091297B">
      <w:pPr>
        <w:pStyle w:val="Heading1"/>
        <w:spacing w:before="1"/>
      </w:pPr>
      <w:r>
        <w:rPr>
          <w:color w:val="4F81BC"/>
        </w:rPr>
        <w:t>Section 659.026(3)(b) (1)-Full-time Equivalent Employees</w:t>
      </w:r>
    </w:p>
    <w:p w14:paraId="44C704B7" w14:textId="77777777" w:rsidR="000B2A37" w:rsidRDefault="000B2A37">
      <w:pPr>
        <w:pStyle w:val="BodyText"/>
        <w:spacing w:before="1"/>
        <w:rPr>
          <w:rFonts w:ascii="Cambria"/>
          <w:b/>
          <w:sz w:val="25"/>
        </w:rPr>
      </w:pPr>
    </w:p>
    <w:p w14:paraId="44C704B8" w14:textId="77777777" w:rsidR="000B2A37" w:rsidRDefault="0091297B">
      <w:pPr>
        <w:pStyle w:val="BodyText"/>
        <w:ind w:left="120"/>
      </w:pPr>
      <w:r>
        <w:t>The number of full-time equivalent employees employed by the Department.</w:t>
      </w:r>
    </w:p>
    <w:p w14:paraId="44C704B9" w14:textId="77777777" w:rsidR="000B2A37" w:rsidRDefault="000B2A37">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1879"/>
      </w:tblGrid>
      <w:tr w:rsidR="000B2A37" w14:paraId="44C704BB" w14:textId="77777777">
        <w:trPr>
          <w:trHeight w:val="313"/>
        </w:trPr>
        <w:tc>
          <w:tcPr>
            <w:tcW w:w="3758" w:type="dxa"/>
            <w:gridSpan w:val="2"/>
            <w:shd w:val="clear" w:color="auto" w:fill="D9D9D9"/>
          </w:tcPr>
          <w:p w14:paraId="44C704BA" w14:textId="77777777" w:rsidR="000B2A37" w:rsidRDefault="0091297B">
            <w:pPr>
              <w:pStyle w:val="TableParagraph"/>
              <w:spacing w:line="292" w:lineRule="exact"/>
              <w:ind w:left="959"/>
              <w:rPr>
                <w:b/>
                <w:sz w:val="24"/>
              </w:rPr>
            </w:pPr>
            <w:r>
              <w:rPr>
                <w:b/>
                <w:sz w:val="24"/>
              </w:rPr>
              <w:t>FTEs Appropriated</w:t>
            </w:r>
          </w:p>
        </w:tc>
      </w:tr>
      <w:tr w:rsidR="000B2A37" w14:paraId="44C704BE" w14:textId="77777777">
        <w:trPr>
          <w:trHeight w:val="313"/>
        </w:trPr>
        <w:tc>
          <w:tcPr>
            <w:tcW w:w="1879" w:type="dxa"/>
          </w:tcPr>
          <w:p w14:paraId="44C704BC" w14:textId="21277C75" w:rsidR="000B2A37" w:rsidRDefault="0091297B">
            <w:pPr>
              <w:pStyle w:val="TableParagraph"/>
              <w:spacing w:line="292" w:lineRule="exact"/>
              <w:rPr>
                <w:sz w:val="24"/>
              </w:rPr>
            </w:pPr>
            <w:r>
              <w:rPr>
                <w:sz w:val="24"/>
              </w:rPr>
              <w:t>FY 20</w:t>
            </w:r>
            <w:r w:rsidR="00A402F3">
              <w:rPr>
                <w:sz w:val="24"/>
              </w:rPr>
              <w:t>2</w:t>
            </w:r>
            <w:r w:rsidR="008E4497">
              <w:rPr>
                <w:sz w:val="24"/>
              </w:rPr>
              <w:t>1</w:t>
            </w:r>
          </w:p>
        </w:tc>
        <w:tc>
          <w:tcPr>
            <w:tcW w:w="1879" w:type="dxa"/>
          </w:tcPr>
          <w:p w14:paraId="44C704BD" w14:textId="1CF2ED37" w:rsidR="000B2A37" w:rsidRDefault="002C66E8">
            <w:pPr>
              <w:pStyle w:val="TableParagraph"/>
              <w:spacing w:line="292" w:lineRule="exact"/>
              <w:ind w:left="108"/>
              <w:rPr>
                <w:sz w:val="24"/>
              </w:rPr>
            </w:pPr>
            <w:r>
              <w:rPr>
                <w:sz w:val="24"/>
              </w:rPr>
              <w:t>208.0</w:t>
            </w:r>
          </w:p>
        </w:tc>
      </w:tr>
      <w:tr w:rsidR="000B2A37" w14:paraId="44C704C1" w14:textId="77777777">
        <w:trPr>
          <w:trHeight w:val="330"/>
        </w:trPr>
        <w:tc>
          <w:tcPr>
            <w:tcW w:w="1879" w:type="dxa"/>
          </w:tcPr>
          <w:p w14:paraId="44C704BF" w14:textId="02DE4729" w:rsidR="000B2A37" w:rsidRDefault="0091297B">
            <w:pPr>
              <w:pStyle w:val="TableParagraph"/>
              <w:spacing w:line="292" w:lineRule="exact"/>
              <w:rPr>
                <w:sz w:val="24"/>
              </w:rPr>
            </w:pPr>
            <w:r>
              <w:rPr>
                <w:sz w:val="24"/>
              </w:rPr>
              <w:t>FY 20</w:t>
            </w:r>
            <w:r w:rsidR="008E4497">
              <w:rPr>
                <w:sz w:val="24"/>
              </w:rPr>
              <w:t>20</w:t>
            </w:r>
          </w:p>
        </w:tc>
        <w:tc>
          <w:tcPr>
            <w:tcW w:w="1879" w:type="dxa"/>
          </w:tcPr>
          <w:p w14:paraId="44C704C0" w14:textId="5A6C977A" w:rsidR="000B2A37" w:rsidRDefault="002C66E8">
            <w:pPr>
              <w:pStyle w:val="TableParagraph"/>
              <w:spacing w:line="292" w:lineRule="exact"/>
              <w:ind w:left="108"/>
              <w:rPr>
                <w:sz w:val="24"/>
              </w:rPr>
            </w:pPr>
            <w:r>
              <w:rPr>
                <w:sz w:val="24"/>
              </w:rPr>
              <w:t>208.0</w:t>
            </w:r>
          </w:p>
        </w:tc>
      </w:tr>
    </w:tbl>
    <w:p w14:paraId="44C704C2" w14:textId="77777777" w:rsidR="000B2A37" w:rsidRDefault="000B2A37">
      <w:pPr>
        <w:pStyle w:val="BodyText"/>
        <w:spacing w:before="11"/>
        <w:rPr>
          <w:sz w:val="23"/>
        </w:rPr>
      </w:pPr>
    </w:p>
    <w:p w14:paraId="44C704C3" w14:textId="245C9B48" w:rsidR="000B2A37" w:rsidRDefault="0091297B">
      <w:pPr>
        <w:pStyle w:val="BodyText"/>
        <w:ind w:left="119"/>
      </w:pPr>
      <w:r>
        <w:t>Current FTEs: 1</w:t>
      </w:r>
      <w:r w:rsidR="00CE36C5">
        <w:t>8</w:t>
      </w:r>
      <w:r w:rsidR="00BE59BA">
        <w:t>9</w:t>
      </w:r>
    </w:p>
    <w:p w14:paraId="44C704C4" w14:textId="77777777" w:rsidR="000B2A37" w:rsidRDefault="000B2A37">
      <w:pPr>
        <w:pStyle w:val="BodyText"/>
      </w:pPr>
    </w:p>
    <w:p w14:paraId="44C704C5" w14:textId="77777777" w:rsidR="000B2A37" w:rsidRDefault="0091297B">
      <w:pPr>
        <w:pStyle w:val="Heading1"/>
        <w:ind w:left="119"/>
      </w:pPr>
      <w:r>
        <w:rPr>
          <w:color w:val="4F81BC"/>
        </w:rPr>
        <w:t>Section 659.026 (3)(b) (2) – Legislative Appropriations to the Agency</w:t>
      </w:r>
    </w:p>
    <w:p w14:paraId="44C704C6" w14:textId="77777777" w:rsidR="000B2A37" w:rsidRDefault="000B2A37">
      <w:pPr>
        <w:pStyle w:val="BodyText"/>
        <w:spacing w:before="1"/>
        <w:rPr>
          <w:rFonts w:ascii="Cambria"/>
          <w:b/>
          <w:sz w:val="25"/>
        </w:rPr>
      </w:pPr>
    </w:p>
    <w:p w14:paraId="44C704C7" w14:textId="77777777" w:rsidR="000B2A37" w:rsidRDefault="0091297B">
      <w:pPr>
        <w:pStyle w:val="BodyText"/>
        <w:ind w:left="119" w:right="309"/>
      </w:pPr>
      <w:r>
        <w:t>The amount of legislative appropriations to the Department for each fiscal year of the current state fiscal biennium.</w:t>
      </w:r>
    </w:p>
    <w:p w14:paraId="44C704C8" w14:textId="77777777" w:rsidR="000B2A37" w:rsidRDefault="000B2A37">
      <w:pPr>
        <w:pStyle w:val="BodyText"/>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2352"/>
      </w:tblGrid>
      <w:tr w:rsidR="000B2A37" w14:paraId="44C704CA" w14:textId="77777777">
        <w:trPr>
          <w:trHeight w:val="313"/>
        </w:trPr>
        <w:tc>
          <w:tcPr>
            <w:tcW w:w="4231" w:type="dxa"/>
            <w:gridSpan w:val="2"/>
            <w:shd w:val="clear" w:color="auto" w:fill="D9D9D9"/>
          </w:tcPr>
          <w:p w14:paraId="44C704C9" w14:textId="77777777" w:rsidR="000B2A37" w:rsidRDefault="0091297B">
            <w:pPr>
              <w:pStyle w:val="TableParagraph"/>
              <w:spacing w:line="292" w:lineRule="exact"/>
              <w:ind w:left="1216"/>
              <w:rPr>
                <w:b/>
                <w:sz w:val="24"/>
              </w:rPr>
            </w:pPr>
            <w:r>
              <w:rPr>
                <w:b/>
                <w:sz w:val="24"/>
              </w:rPr>
              <w:t>FY Appropriations</w:t>
            </w:r>
          </w:p>
        </w:tc>
      </w:tr>
      <w:tr w:rsidR="000B2A37" w14:paraId="44C704CD" w14:textId="77777777">
        <w:trPr>
          <w:trHeight w:val="313"/>
        </w:trPr>
        <w:tc>
          <w:tcPr>
            <w:tcW w:w="1879" w:type="dxa"/>
          </w:tcPr>
          <w:p w14:paraId="44C704CB" w14:textId="0FBDD328" w:rsidR="000B2A37" w:rsidRDefault="0091297B">
            <w:pPr>
              <w:pStyle w:val="TableParagraph"/>
              <w:spacing w:line="292" w:lineRule="exact"/>
              <w:rPr>
                <w:sz w:val="24"/>
              </w:rPr>
            </w:pPr>
            <w:r>
              <w:rPr>
                <w:sz w:val="24"/>
              </w:rPr>
              <w:t>FY 20</w:t>
            </w:r>
            <w:r w:rsidR="008E4497">
              <w:rPr>
                <w:sz w:val="24"/>
              </w:rPr>
              <w:t>21</w:t>
            </w:r>
          </w:p>
        </w:tc>
        <w:tc>
          <w:tcPr>
            <w:tcW w:w="2352" w:type="dxa"/>
          </w:tcPr>
          <w:p w14:paraId="44C704CC" w14:textId="46B17165" w:rsidR="000B2A37" w:rsidRDefault="0091297B">
            <w:pPr>
              <w:pStyle w:val="TableParagraph"/>
              <w:spacing w:line="292" w:lineRule="exact"/>
              <w:rPr>
                <w:sz w:val="24"/>
              </w:rPr>
            </w:pPr>
            <w:r>
              <w:rPr>
                <w:sz w:val="24"/>
              </w:rPr>
              <w:t>$</w:t>
            </w:r>
            <w:r w:rsidR="00CE36C5">
              <w:rPr>
                <w:sz w:val="24"/>
              </w:rPr>
              <w:t xml:space="preserve"> </w:t>
            </w:r>
            <w:r w:rsidR="002C66E8">
              <w:rPr>
                <w:sz w:val="24"/>
              </w:rPr>
              <w:t>439,025,632</w:t>
            </w:r>
          </w:p>
        </w:tc>
      </w:tr>
      <w:tr w:rsidR="000B2A37" w14:paraId="44C704D0" w14:textId="77777777">
        <w:trPr>
          <w:trHeight w:val="330"/>
        </w:trPr>
        <w:tc>
          <w:tcPr>
            <w:tcW w:w="1879" w:type="dxa"/>
          </w:tcPr>
          <w:p w14:paraId="44C704CE" w14:textId="005A6047" w:rsidR="000B2A37" w:rsidRDefault="0091297B">
            <w:pPr>
              <w:pStyle w:val="TableParagraph"/>
              <w:spacing w:line="292" w:lineRule="exact"/>
              <w:rPr>
                <w:sz w:val="24"/>
              </w:rPr>
            </w:pPr>
            <w:r>
              <w:rPr>
                <w:sz w:val="24"/>
              </w:rPr>
              <w:t>FY 20</w:t>
            </w:r>
            <w:r w:rsidR="008E4497">
              <w:rPr>
                <w:sz w:val="24"/>
              </w:rPr>
              <w:t>20</w:t>
            </w:r>
          </w:p>
        </w:tc>
        <w:tc>
          <w:tcPr>
            <w:tcW w:w="2352" w:type="dxa"/>
          </w:tcPr>
          <w:p w14:paraId="44C704CF" w14:textId="55B11F76" w:rsidR="000B2A37" w:rsidRDefault="0091297B">
            <w:pPr>
              <w:pStyle w:val="TableParagraph"/>
              <w:spacing w:line="292" w:lineRule="exact"/>
              <w:rPr>
                <w:sz w:val="24"/>
              </w:rPr>
            </w:pPr>
            <w:r>
              <w:rPr>
                <w:sz w:val="24"/>
              </w:rPr>
              <w:t>$</w:t>
            </w:r>
            <w:r w:rsidR="00CE36C5">
              <w:rPr>
                <w:sz w:val="24"/>
              </w:rPr>
              <w:t xml:space="preserve"> </w:t>
            </w:r>
            <w:r w:rsidR="002C66E8">
              <w:rPr>
                <w:sz w:val="24"/>
              </w:rPr>
              <w:t>426,919,336</w:t>
            </w:r>
          </w:p>
        </w:tc>
      </w:tr>
    </w:tbl>
    <w:p w14:paraId="44C704D1" w14:textId="77777777" w:rsidR="000B2A37" w:rsidRDefault="000B2A37">
      <w:pPr>
        <w:pStyle w:val="BodyText"/>
      </w:pPr>
    </w:p>
    <w:p w14:paraId="44C704D2" w14:textId="77777777" w:rsidR="000B2A37" w:rsidRDefault="000B2A37">
      <w:pPr>
        <w:pStyle w:val="BodyText"/>
        <w:spacing w:before="10"/>
        <w:rPr>
          <w:sz w:val="28"/>
        </w:rPr>
      </w:pPr>
    </w:p>
    <w:p w14:paraId="44C704D3" w14:textId="77777777" w:rsidR="000B2A37" w:rsidRDefault="0091297B">
      <w:pPr>
        <w:pStyle w:val="Heading1"/>
      </w:pPr>
      <w:r>
        <w:rPr>
          <w:color w:val="4F81BC"/>
        </w:rPr>
        <w:t>Section 659.026(3)(b) (3)- Executive Staff Compensation</w:t>
      </w:r>
    </w:p>
    <w:p w14:paraId="44C704D4" w14:textId="77777777" w:rsidR="000B2A37" w:rsidRDefault="000B2A37">
      <w:pPr>
        <w:sectPr w:rsidR="000B2A37">
          <w:headerReference w:type="even" r:id="rId6"/>
          <w:headerReference w:type="default" r:id="rId7"/>
          <w:footerReference w:type="even" r:id="rId8"/>
          <w:footerReference w:type="default" r:id="rId9"/>
          <w:headerReference w:type="first" r:id="rId10"/>
          <w:footerReference w:type="first" r:id="rId11"/>
          <w:type w:val="continuous"/>
          <w:pgSz w:w="12240" w:h="15840"/>
          <w:pgMar w:top="1400" w:right="1340" w:bottom="2140" w:left="1320" w:header="720" w:footer="1947" w:gutter="0"/>
          <w:pgNumType w:start="1"/>
          <w:cols w:space="720"/>
        </w:sectPr>
      </w:pPr>
    </w:p>
    <w:p w14:paraId="44C704D5" w14:textId="77777777" w:rsidR="000B2A37" w:rsidRDefault="0091297B">
      <w:pPr>
        <w:pStyle w:val="BodyText"/>
        <w:spacing w:before="39"/>
        <w:ind w:left="120" w:right="147"/>
      </w:pPr>
      <w:r>
        <w:lastRenderedPageBreak/>
        <w:t>The Department uses the State of Texas Position Classification Plan (Plan) as compensation methodology. The Plan is designed to ensure that executive staff are classified appropriately and consistently according to their education, work experience, skills, and work performed. Additional consideration is given so that the salary ranges for positions are competitive with similar positions in the public and private sector. The Plan helps to promote salary parity for similar positions across agencies, allows agencies to recruit and retain employees, and provides salary administration guidelines for similar positions across agencies to make individual pay decisions. The Department is statutorily required to follow the Plan for all agency employees.</w:t>
      </w:r>
    </w:p>
    <w:p w14:paraId="44C704D6" w14:textId="77777777" w:rsidR="000B2A37" w:rsidRDefault="000B2A37">
      <w:pPr>
        <w:pStyle w:val="BodyText"/>
        <w:spacing w:before="11"/>
        <w:rPr>
          <w:sz w:val="33"/>
        </w:rPr>
      </w:pPr>
    </w:p>
    <w:p w14:paraId="44C704D7" w14:textId="77777777" w:rsidR="000B2A37" w:rsidRDefault="0091297B">
      <w:pPr>
        <w:pStyle w:val="BodyText"/>
        <w:ind w:left="119" w:right="521"/>
      </w:pPr>
      <w:r>
        <w:t>The maximum salary for the Department’s Executive Director is established in the General Appropriations Act (GAA). The Department’s Board is authorized by statute to conduct a performance review on the Executive Director to allow for compensation changes up to the maximum established in the GAA. Considerations during the performance review consist of experience, leadership abilities, market analysis of relatable private sector occupations and comparable sized agencies.</w:t>
      </w:r>
    </w:p>
    <w:p w14:paraId="44C704D8" w14:textId="77777777" w:rsidR="000B2A37" w:rsidRDefault="0091297B">
      <w:pPr>
        <w:pStyle w:val="BodyText"/>
        <w:spacing w:before="59"/>
        <w:ind w:left="119" w:right="601"/>
      </w:pPr>
      <w:r>
        <w:t>When setting salaries for all other executive staff, the Executive Director considers an individual’s performance, experience, education, licenses, certifications, and Department’s budget.</w:t>
      </w:r>
    </w:p>
    <w:p w14:paraId="44C704D9" w14:textId="77777777" w:rsidR="000B2A37" w:rsidRDefault="000B2A37">
      <w:pPr>
        <w:pStyle w:val="BodyText"/>
        <w:spacing w:before="10"/>
        <w:rPr>
          <w:sz w:val="33"/>
        </w:rPr>
      </w:pPr>
    </w:p>
    <w:p w14:paraId="44C704DA" w14:textId="77777777" w:rsidR="000B2A37" w:rsidRDefault="0091297B">
      <w:pPr>
        <w:pStyle w:val="Heading1"/>
        <w:ind w:left="119"/>
      </w:pPr>
      <w:r>
        <w:rPr>
          <w:color w:val="4F81BC"/>
        </w:rPr>
        <w:t>Section 659.026(3)(b) (4)-Executive Staff Supplement Eligibility</w:t>
      </w:r>
    </w:p>
    <w:p w14:paraId="44C704DB" w14:textId="77777777" w:rsidR="000B2A37" w:rsidRDefault="000B2A37">
      <w:pPr>
        <w:pStyle w:val="BodyText"/>
        <w:spacing w:before="1"/>
        <w:rPr>
          <w:rFonts w:ascii="Cambria"/>
          <w:b/>
          <w:sz w:val="25"/>
        </w:rPr>
      </w:pPr>
    </w:p>
    <w:p w14:paraId="44C704DC" w14:textId="77777777" w:rsidR="000B2A37" w:rsidRDefault="0091297B">
      <w:pPr>
        <w:pStyle w:val="BodyText"/>
        <w:ind w:left="119" w:right="213"/>
      </w:pPr>
      <w:r>
        <w:t>DIR’s executive staff are not eligible for a salary supplement as described in Texas Government Code, Section 659.0201.</w:t>
      </w:r>
    </w:p>
    <w:p w14:paraId="44C704DD" w14:textId="77777777" w:rsidR="000B2A37" w:rsidRDefault="000B2A37">
      <w:pPr>
        <w:pStyle w:val="BodyText"/>
      </w:pPr>
    </w:p>
    <w:p w14:paraId="44C704DE" w14:textId="77777777" w:rsidR="000B2A37" w:rsidRDefault="0091297B">
      <w:pPr>
        <w:pStyle w:val="Heading1"/>
        <w:ind w:left="119"/>
      </w:pPr>
      <w:r>
        <w:rPr>
          <w:color w:val="4F81BC"/>
        </w:rPr>
        <w:t>Section 659.026(3) (b) (5)-Market Average Compensation for Similar Executive Staff</w:t>
      </w:r>
    </w:p>
    <w:p w14:paraId="44C704DF" w14:textId="77777777" w:rsidR="000B2A37" w:rsidRDefault="000B2A37">
      <w:pPr>
        <w:pStyle w:val="BodyText"/>
        <w:spacing w:before="10"/>
        <w:rPr>
          <w:rFonts w:ascii="Cambria"/>
          <w:b/>
        </w:rPr>
      </w:pPr>
    </w:p>
    <w:p w14:paraId="44C704E0" w14:textId="0F1A4F5C" w:rsidR="000B2A37" w:rsidRDefault="0091297B">
      <w:pPr>
        <w:pStyle w:val="BodyText"/>
        <w:spacing w:before="1"/>
        <w:ind w:left="119" w:right="219"/>
      </w:pPr>
      <w:r>
        <w:t>Due to the unique nature of the duties and responsibilities of the DIR, reliable and accurate private sector market averages for compensation of similar executive staff is not available. For information on compensation of similar executive staff in the public sector, please see the August 201</w:t>
      </w:r>
      <w:r w:rsidR="00221574">
        <w:t>8</w:t>
      </w:r>
      <w:r>
        <w:t xml:space="preserve">, State Auditor’s Office report entitled “A Report on Executive Compensation at State Agencies” (Report Number </w:t>
      </w:r>
      <w:r w:rsidR="00F626FB">
        <w:t>20</w:t>
      </w:r>
      <w:r>
        <w:t>-706) available at:</w:t>
      </w:r>
      <w:r w:rsidR="00F626FB">
        <w:rPr>
          <w:color w:val="0000FF"/>
          <w:u w:val="single" w:color="0000FF"/>
        </w:rPr>
        <w:t xml:space="preserve"> </w:t>
      </w:r>
      <w:r w:rsidR="0002794D" w:rsidRPr="0002794D">
        <w:rPr>
          <w:color w:val="0000FF"/>
          <w:u w:val="single" w:color="0000FF"/>
        </w:rPr>
        <w:t>http://www.sao.texas.gov/reports/main/20-706.pdf</w:t>
      </w:r>
      <w:r>
        <w:t>.</w:t>
      </w:r>
    </w:p>
    <w:p w14:paraId="44C704E1" w14:textId="77777777" w:rsidR="000B2A37" w:rsidRDefault="000B2A37">
      <w:pPr>
        <w:pStyle w:val="BodyText"/>
        <w:spacing w:before="11"/>
        <w:rPr>
          <w:sz w:val="14"/>
        </w:rPr>
      </w:pPr>
    </w:p>
    <w:p w14:paraId="44C704E2" w14:textId="77777777" w:rsidR="000B2A37" w:rsidRDefault="0091297B">
      <w:pPr>
        <w:pStyle w:val="Heading1"/>
        <w:spacing w:before="100"/>
      </w:pPr>
      <w:r>
        <w:rPr>
          <w:color w:val="4F81BC"/>
        </w:rPr>
        <w:t>Section 659.026(3) (b) (6)-Average Compensation Paid to Non- Executive Staff</w:t>
      </w:r>
    </w:p>
    <w:p w14:paraId="44C704E3" w14:textId="77777777" w:rsidR="000B2A37" w:rsidRDefault="000B2A37">
      <w:pPr>
        <w:pStyle w:val="BodyText"/>
        <w:spacing w:before="11"/>
        <w:rPr>
          <w:rFonts w:ascii="Cambria"/>
          <w:b/>
        </w:rPr>
      </w:pPr>
    </w:p>
    <w:p w14:paraId="44C704E4" w14:textId="77777777" w:rsidR="000B2A37" w:rsidRDefault="0091297B">
      <w:pPr>
        <w:pStyle w:val="BodyText"/>
        <w:ind w:left="120"/>
      </w:pPr>
      <w:r>
        <w:t>The average monthly base pay compensation paid to non-executive staff employees is</w:t>
      </w:r>
    </w:p>
    <w:p w14:paraId="44C704E6" w14:textId="2F681E6B" w:rsidR="000B2A37" w:rsidRDefault="00AA3CF9" w:rsidP="00F46E4E">
      <w:pPr>
        <w:pStyle w:val="BodyText"/>
        <w:ind w:left="120"/>
        <w:sectPr w:rsidR="000B2A37">
          <w:pgSz w:w="12240" w:h="15840"/>
          <w:pgMar w:top="1400" w:right="1340" w:bottom="2140" w:left="1320" w:header="0" w:footer="1947" w:gutter="0"/>
          <w:cols w:space="720"/>
        </w:sectPr>
      </w:pPr>
      <w:r>
        <w:t>$7,416.67</w:t>
      </w:r>
      <w:r w:rsidR="0093744E">
        <w:t>.</w:t>
      </w:r>
    </w:p>
    <w:p w14:paraId="44C704E7" w14:textId="77777777" w:rsidR="000B2A37" w:rsidRDefault="0091297B">
      <w:pPr>
        <w:pStyle w:val="Heading1"/>
        <w:spacing w:before="80"/>
        <w:ind w:right="385"/>
      </w:pPr>
      <w:r>
        <w:rPr>
          <w:color w:val="4F81BC"/>
        </w:rPr>
        <w:lastRenderedPageBreak/>
        <w:t>Section 659.026(3) (b) (7)-Percentage Increase in Compensation of Executive Staff and the Percentage Increase in Legislative Appropriations</w:t>
      </w:r>
    </w:p>
    <w:p w14:paraId="44C704E8" w14:textId="77777777" w:rsidR="000B2A37" w:rsidRDefault="000B2A37">
      <w:pPr>
        <w:pStyle w:val="BodyText"/>
        <w:rPr>
          <w:rFonts w:ascii="Cambria"/>
          <w:b/>
        </w:rPr>
      </w:pPr>
    </w:p>
    <w:p w14:paraId="44C704E9" w14:textId="77777777" w:rsidR="000B2A37" w:rsidRDefault="0091297B">
      <w:pPr>
        <w:pStyle w:val="BodyText"/>
        <w:ind w:left="120" w:right="386"/>
      </w:pPr>
      <w:r>
        <w:t>The percentage increase in compensation of executive staff for each fiscal year of the five preceding fiscal years and the percentage increase in legislative appropriations to the agency each fiscal year of the five preceding fiscal years.</w:t>
      </w:r>
    </w:p>
    <w:p w14:paraId="44C704EA" w14:textId="77777777" w:rsidR="000B2A37" w:rsidRDefault="000B2A37">
      <w:pPr>
        <w:pStyle w:val="BodyText"/>
        <w:spacing w:before="11"/>
        <w:rPr>
          <w:sz w:val="23"/>
        </w:rPr>
      </w:pPr>
    </w:p>
    <w:p w14:paraId="44C704EB" w14:textId="77777777" w:rsidR="000B2A37" w:rsidRDefault="0091297B">
      <w:pPr>
        <w:ind w:left="120"/>
        <w:rPr>
          <w:b/>
          <w:sz w:val="24"/>
        </w:rPr>
      </w:pPr>
      <w:r>
        <w:rPr>
          <w:b/>
          <w:sz w:val="24"/>
        </w:rPr>
        <w:t>Percent Increase in Compensation of Executive Staff</w:t>
      </w:r>
    </w:p>
    <w:p w14:paraId="44C704EC" w14:textId="77777777" w:rsidR="000B2A37" w:rsidRDefault="000B2A37">
      <w:pPr>
        <w:pStyle w:val="BodyText"/>
        <w:spacing w:after="1"/>
        <w:rPr>
          <w:b/>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2323"/>
      </w:tblGrid>
      <w:tr w:rsidR="000B2A37" w14:paraId="44C704EF" w14:textId="77777777">
        <w:trPr>
          <w:trHeight w:val="292"/>
        </w:trPr>
        <w:tc>
          <w:tcPr>
            <w:tcW w:w="2323" w:type="dxa"/>
            <w:shd w:val="clear" w:color="auto" w:fill="D9D9D9"/>
          </w:tcPr>
          <w:p w14:paraId="44C704ED" w14:textId="77777777" w:rsidR="000B2A37" w:rsidRDefault="0091297B">
            <w:pPr>
              <w:pStyle w:val="TableParagraph"/>
              <w:rPr>
                <w:b/>
                <w:sz w:val="24"/>
              </w:rPr>
            </w:pPr>
            <w:r>
              <w:rPr>
                <w:b/>
                <w:sz w:val="24"/>
              </w:rPr>
              <w:t>Fiscal Year</w:t>
            </w:r>
          </w:p>
        </w:tc>
        <w:tc>
          <w:tcPr>
            <w:tcW w:w="2323" w:type="dxa"/>
            <w:shd w:val="clear" w:color="auto" w:fill="D9D9D9"/>
          </w:tcPr>
          <w:p w14:paraId="44C704EE" w14:textId="77777777" w:rsidR="000B2A37" w:rsidRDefault="0091297B">
            <w:pPr>
              <w:pStyle w:val="TableParagraph"/>
              <w:rPr>
                <w:b/>
                <w:sz w:val="24"/>
              </w:rPr>
            </w:pPr>
            <w:r>
              <w:rPr>
                <w:b/>
                <w:sz w:val="24"/>
              </w:rPr>
              <w:t>Percent Increase</w:t>
            </w:r>
          </w:p>
        </w:tc>
      </w:tr>
      <w:tr w:rsidR="00776985" w14:paraId="1AA830DF" w14:textId="77777777">
        <w:trPr>
          <w:trHeight w:val="292"/>
        </w:trPr>
        <w:tc>
          <w:tcPr>
            <w:tcW w:w="2323" w:type="dxa"/>
            <w:shd w:val="clear" w:color="auto" w:fill="D9D9D9"/>
          </w:tcPr>
          <w:p w14:paraId="573ADE34" w14:textId="5AE44E6B" w:rsidR="00776985" w:rsidRPr="00F46E4E" w:rsidRDefault="00776985">
            <w:pPr>
              <w:pStyle w:val="TableParagraph"/>
              <w:rPr>
                <w:bCs/>
                <w:sz w:val="24"/>
              </w:rPr>
            </w:pPr>
            <w:r w:rsidRPr="00F46E4E">
              <w:rPr>
                <w:bCs/>
                <w:sz w:val="24"/>
              </w:rPr>
              <w:t>FY 2020</w:t>
            </w:r>
          </w:p>
        </w:tc>
        <w:tc>
          <w:tcPr>
            <w:tcW w:w="2323" w:type="dxa"/>
            <w:shd w:val="clear" w:color="auto" w:fill="D9D9D9"/>
          </w:tcPr>
          <w:p w14:paraId="086B6256" w14:textId="789B20E4" w:rsidR="00776985" w:rsidRPr="00F46E4E" w:rsidRDefault="007A22C9">
            <w:pPr>
              <w:pStyle w:val="TableParagraph"/>
              <w:rPr>
                <w:bCs/>
                <w:sz w:val="24"/>
              </w:rPr>
            </w:pPr>
            <w:r w:rsidRPr="00F46E4E">
              <w:rPr>
                <w:bCs/>
                <w:sz w:val="24"/>
              </w:rPr>
              <w:t>11.5%</w:t>
            </w:r>
          </w:p>
        </w:tc>
      </w:tr>
      <w:tr w:rsidR="00776985" w14:paraId="5865BA29" w14:textId="77777777">
        <w:trPr>
          <w:trHeight w:val="292"/>
        </w:trPr>
        <w:tc>
          <w:tcPr>
            <w:tcW w:w="2323" w:type="dxa"/>
            <w:shd w:val="clear" w:color="auto" w:fill="D9D9D9"/>
          </w:tcPr>
          <w:p w14:paraId="1D9C4B82" w14:textId="6B83926C" w:rsidR="00776985" w:rsidRPr="00F46E4E" w:rsidRDefault="00776985">
            <w:pPr>
              <w:pStyle w:val="TableParagraph"/>
              <w:rPr>
                <w:bCs/>
                <w:sz w:val="24"/>
              </w:rPr>
            </w:pPr>
            <w:r w:rsidRPr="00F46E4E">
              <w:rPr>
                <w:bCs/>
                <w:sz w:val="24"/>
              </w:rPr>
              <w:t>FY 20</w:t>
            </w:r>
            <w:r w:rsidR="002C66E8" w:rsidRPr="00F46E4E">
              <w:rPr>
                <w:bCs/>
                <w:sz w:val="24"/>
              </w:rPr>
              <w:t>19</w:t>
            </w:r>
          </w:p>
        </w:tc>
        <w:tc>
          <w:tcPr>
            <w:tcW w:w="2323" w:type="dxa"/>
            <w:shd w:val="clear" w:color="auto" w:fill="D9D9D9"/>
          </w:tcPr>
          <w:p w14:paraId="100985FB" w14:textId="4CE6B2B6" w:rsidR="00776985" w:rsidRPr="00F46E4E" w:rsidRDefault="007A22C9">
            <w:pPr>
              <w:pStyle w:val="TableParagraph"/>
              <w:rPr>
                <w:bCs/>
                <w:sz w:val="24"/>
              </w:rPr>
            </w:pPr>
            <w:r w:rsidRPr="00F46E4E">
              <w:rPr>
                <w:bCs/>
                <w:sz w:val="24"/>
              </w:rPr>
              <w:t>0.7%</w:t>
            </w:r>
          </w:p>
        </w:tc>
      </w:tr>
      <w:tr w:rsidR="000B2A37" w14:paraId="44C704F2" w14:textId="77777777">
        <w:trPr>
          <w:trHeight w:val="299"/>
        </w:trPr>
        <w:tc>
          <w:tcPr>
            <w:tcW w:w="2323" w:type="dxa"/>
          </w:tcPr>
          <w:p w14:paraId="44C704F0" w14:textId="31951D7D" w:rsidR="000B2A37" w:rsidRDefault="0091297B">
            <w:pPr>
              <w:pStyle w:val="TableParagraph"/>
              <w:spacing w:before="1" w:line="278" w:lineRule="exact"/>
              <w:rPr>
                <w:sz w:val="24"/>
              </w:rPr>
            </w:pPr>
            <w:r>
              <w:rPr>
                <w:sz w:val="24"/>
              </w:rPr>
              <w:t>FY 20</w:t>
            </w:r>
            <w:r w:rsidR="002C66E8">
              <w:rPr>
                <w:sz w:val="24"/>
              </w:rPr>
              <w:t>18</w:t>
            </w:r>
          </w:p>
        </w:tc>
        <w:tc>
          <w:tcPr>
            <w:tcW w:w="2323" w:type="dxa"/>
          </w:tcPr>
          <w:p w14:paraId="44C704F1" w14:textId="40991FBF" w:rsidR="000B2A37" w:rsidRDefault="007A22C9">
            <w:pPr>
              <w:pStyle w:val="TableParagraph"/>
              <w:spacing w:before="1" w:line="278" w:lineRule="exact"/>
              <w:rPr>
                <w:sz w:val="24"/>
              </w:rPr>
            </w:pPr>
            <w:r>
              <w:rPr>
                <w:sz w:val="24"/>
              </w:rPr>
              <w:t>22%</w:t>
            </w:r>
          </w:p>
        </w:tc>
      </w:tr>
      <w:tr w:rsidR="000B2A37" w14:paraId="44C704F5" w14:textId="77777777">
        <w:trPr>
          <w:trHeight w:val="292"/>
        </w:trPr>
        <w:tc>
          <w:tcPr>
            <w:tcW w:w="2323" w:type="dxa"/>
          </w:tcPr>
          <w:p w14:paraId="44C704F3" w14:textId="4D63CC56" w:rsidR="000B2A37" w:rsidRDefault="0091297B">
            <w:pPr>
              <w:pStyle w:val="TableParagraph"/>
              <w:rPr>
                <w:sz w:val="24"/>
              </w:rPr>
            </w:pPr>
            <w:r>
              <w:rPr>
                <w:sz w:val="24"/>
              </w:rPr>
              <w:t>FY 20</w:t>
            </w:r>
            <w:r w:rsidR="002C66E8">
              <w:rPr>
                <w:sz w:val="24"/>
              </w:rPr>
              <w:t>17</w:t>
            </w:r>
          </w:p>
        </w:tc>
        <w:tc>
          <w:tcPr>
            <w:tcW w:w="2323" w:type="dxa"/>
          </w:tcPr>
          <w:p w14:paraId="44C704F4" w14:textId="08A2D2F1" w:rsidR="000B2A37" w:rsidRDefault="00323006">
            <w:pPr>
              <w:pStyle w:val="TableParagraph"/>
              <w:rPr>
                <w:sz w:val="24"/>
              </w:rPr>
            </w:pPr>
            <w:r>
              <w:rPr>
                <w:sz w:val="24"/>
              </w:rPr>
              <w:t>152%</w:t>
            </w:r>
          </w:p>
        </w:tc>
      </w:tr>
      <w:tr w:rsidR="000B2A37" w14:paraId="44C704F8" w14:textId="77777777">
        <w:trPr>
          <w:trHeight w:val="292"/>
        </w:trPr>
        <w:tc>
          <w:tcPr>
            <w:tcW w:w="2323" w:type="dxa"/>
          </w:tcPr>
          <w:p w14:paraId="44C704F6" w14:textId="698316E7" w:rsidR="000B2A37" w:rsidRDefault="0091297B">
            <w:pPr>
              <w:pStyle w:val="TableParagraph"/>
              <w:rPr>
                <w:sz w:val="24"/>
              </w:rPr>
            </w:pPr>
            <w:r>
              <w:rPr>
                <w:sz w:val="24"/>
              </w:rPr>
              <w:t>FY 20</w:t>
            </w:r>
            <w:r w:rsidR="002C66E8">
              <w:rPr>
                <w:sz w:val="24"/>
              </w:rPr>
              <w:t>16</w:t>
            </w:r>
          </w:p>
        </w:tc>
        <w:tc>
          <w:tcPr>
            <w:tcW w:w="2323" w:type="dxa"/>
          </w:tcPr>
          <w:p w14:paraId="44C704F7" w14:textId="65129453" w:rsidR="000B2A37" w:rsidRDefault="00323006" w:rsidP="00F46E4E">
            <w:pPr>
              <w:pStyle w:val="TableParagraph"/>
              <w:ind w:left="0"/>
              <w:rPr>
                <w:sz w:val="24"/>
              </w:rPr>
            </w:pPr>
            <w:r>
              <w:rPr>
                <w:sz w:val="24"/>
              </w:rPr>
              <w:t>-1.5%</w:t>
            </w:r>
          </w:p>
        </w:tc>
      </w:tr>
    </w:tbl>
    <w:p w14:paraId="44C704FF" w14:textId="77777777" w:rsidR="000B2A37" w:rsidRDefault="000B2A37">
      <w:pPr>
        <w:pStyle w:val="BodyText"/>
        <w:spacing w:before="11"/>
        <w:rPr>
          <w:b/>
          <w:sz w:val="21"/>
        </w:rPr>
      </w:pPr>
    </w:p>
    <w:p w14:paraId="44C70500" w14:textId="77777777" w:rsidR="000B2A37" w:rsidRDefault="0091297B">
      <w:pPr>
        <w:ind w:left="120"/>
      </w:pPr>
      <w:r>
        <w:t>*Note: The fluctuating numbers reflect organizational changes.</w:t>
      </w:r>
    </w:p>
    <w:p w14:paraId="44C70501" w14:textId="77777777" w:rsidR="000B2A37" w:rsidRDefault="000B2A37">
      <w:pPr>
        <w:pStyle w:val="BodyText"/>
        <w:spacing w:before="1"/>
        <w:rPr>
          <w:sz w:val="22"/>
        </w:rPr>
      </w:pPr>
    </w:p>
    <w:p w14:paraId="44C70502" w14:textId="77777777" w:rsidR="000B2A37" w:rsidRDefault="0091297B">
      <w:pPr>
        <w:ind w:left="120"/>
        <w:rPr>
          <w:b/>
          <w:sz w:val="24"/>
        </w:rPr>
      </w:pPr>
      <w:r>
        <w:rPr>
          <w:b/>
          <w:sz w:val="24"/>
        </w:rPr>
        <w:t>Percent Increase in Legislative Appropriations per GAA</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2323"/>
      </w:tblGrid>
      <w:tr w:rsidR="000B2A37" w14:paraId="44C70505" w14:textId="77777777">
        <w:trPr>
          <w:trHeight w:val="292"/>
        </w:trPr>
        <w:tc>
          <w:tcPr>
            <w:tcW w:w="2323" w:type="dxa"/>
            <w:shd w:val="clear" w:color="auto" w:fill="D9D9D9"/>
          </w:tcPr>
          <w:p w14:paraId="44C70503" w14:textId="77777777" w:rsidR="000B2A37" w:rsidRDefault="0091297B">
            <w:pPr>
              <w:pStyle w:val="TableParagraph"/>
              <w:rPr>
                <w:b/>
                <w:sz w:val="24"/>
              </w:rPr>
            </w:pPr>
            <w:r>
              <w:rPr>
                <w:b/>
                <w:sz w:val="24"/>
              </w:rPr>
              <w:t>Fiscal Year</w:t>
            </w:r>
          </w:p>
        </w:tc>
        <w:tc>
          <w:tcPr>
            <w:tcW w:w="2323" w:type="dxa"/>
            <w:shd w:val="clear" w:color="auto" w:fill="D9D9D9"/>
          </w:tcPr>
          <w:p w14:paraId="44C70504" w14:textId="77777777" w:rsidR="000B2A37" w:rsidRDefault="0091297B">
            <w:pPr>
              <w:pStyle w:val="TableParagraph"/>
              <w:rPr>
                <w:b/>
                <w:sz w:val="24"/>
              </w:rPr>
            </w:pPr>
            <w:r>
              <w:rPr>
                <w:b/>
                <w:sz w:val="24"/>
              </w:rPr>
              <w:t>Percent Increase</w:t>
            </w:r>
          </w:p>
        </w:tc>
      </w:tr>
      <w:tr w:rsidR="00776985" w14:paraId="2F25F0DF" w14:textId="77777777">
        <w:trPr>
          <w:trHeight w:val="292"/>
        </w:trPr>
        <w:tc>
          <w:tcPr>
            <w:tcW w:w="2323" w:type="dxa"/>
            <w:shd w:val="clear" w:color="auto" w:fill="D9D9D9"/>
          </w:tcPr>
          <w:p w14:paraId="7D8CC0F9" w14:textId="336EA3EF" w:rsidR="00776985" w:rsidRPr="00F46E4E" w:rsidRDefault="00776985">
            <w:pPr>
              <w:pStyle w:val="TableParagraph"/>
              <w:rPr>
                <w:bCs/>
                <w:sz w:val="24"/>
              </w:rPr>
            </w:pPr>
            <w:r w:rsidRPr="00F46E4E">
              <w:rPr>
                <w:bCs/>
                <w:sz w:val="24"/>
              </w:rPr>
              <w:t>FY 2020</w:t>
            </w:r>
          </w:p>
        </w:tc>
        <w:tc>
          <w:tcPr>
            <w:tcW w:w="2323" w:type="dxa"/>
            <w:shd w:val="clear" w:color="auto" w:fill="D9D9D9"/>
          </w:tcPr>
          <w:p w14:paraId="1BD4008D" w14:textId="44491CCA" w:rsidR="00776985" w:rsidRPr="00F46E4E" w:rsidRDefault="00323006">
            <w:pPr>
              <w:pStyle w:val="TableParagraph"/>
              <w:rPr>
                <w:bCs/>
                <w:sz w:val="24"/>
              </w:rPr>
            </w:pPr>
            <w:r w:rsidRPr="00F46E4E">
              <w:rPr>
                <w:bCs/>
                <w:sz w:val="24"/>
              </w:rPr>
              <w:t>6.6%</w:t>
            </w:r>
          </w:p>
        </w:tc>
      </w:tr>
      <w:tr w:rsidR="00776985" w14:paraId="3EDDD5FF" w14:textId="77777777">
        <w:trPr>
          <w:trHeight w:val="292"/>
        </w:trPr>
        <w:tc>
          <w:tcPr>
            <w:tcW w:w="2323" w:type="dxa"/>
            <w:shd w:val="clear" w:color="auto" w:fill="D9D9D9"/>
          </w:tcPr>
          <w:p w14:paraId="5A8E28B2" w14:textId="14D13063" w:rsidR="00776985" w:rsidRPr="00F46E4E" w:rsidRDefault="00776985">
            <w:pPr>
              <w:pStyle w:val="TableParagraph"/>
              <w:rPr>
                <w:bCs/>
                <w:sz w:val="24"/>
              </w:rPr>
            </w:pPr>
            <w:r w:rsidRPr="00F46E4E">
              <w:rPr>
                <w:bCs/>
                <w:sz w:val="24"/>
              </w:rPr>
              <w:t>FY 201</w:t>
            </w:r>
            <w:r w:rsidR="002C66E8" w:rsidRPr="00F46E4E">
              <w:rPr>
                <w:bCs/>
                <w:sz w:val="24"/>
              </w:rPr>
              <w:t>9</w:t>
            </w:r>
          </w:p>
        </w:tc>
        <w:tc>
          <w:tcPr>
            <w:tcW w:w="2323" w:type="dxa"/>
            <w:shd w:val="clear" w:color="auto" w:fill="D9D9D9"/>
          </w:tcPr>
          <w:p w14:paraId="1ABC24D6" w14:textId="39A2771E" w:rsidR="00776985" w:rsidRPr="00F46E4E" w:rsidRDefault="00323006">
            <w:pPr>
              <w:pStyle w:val="TableParagraph"/>
              <w:rPr>
                <w:bCs/>
                <w:sz w:val="24"/>
              </w:rPr>
            </w:pPr>
            <w:r w:rsidRPr="00F46E4E">
              <w:rPr>
                <w:bCs/>
                <w:sz w:val="24"/>
              </w:rPr>
              <w:t>12.5%</w:t>
            </w:r>
          </w:p>
        </w:tc>
      </w:tr>
      <w:tr w:rsidR="000B2A37" w14:paraId="44C70508" w14:textId="77777777">
        <w:trPr>
          <w:trHeight w:val="297"/>
        </w:trPr>
        <w:tc>
          <w:tcPr>
            <w:tcW w:w="2323" w:type="dxa"/>
          </w:tcPr>
          <w:p w14:paraId="44C70506" w14:textId="3839FF96" w:rsidR="000B2A37" w:rsidRPr="00F46E4E" w:rsidRDefault="0091297B" w:rsidP="00F46E4E">
            <w:pPr>
              <w:pStyle w:val="TableParagraph"/>
              <w:rPr>
                <w:bCs/>
                <w:sz w:val="24"/>
              </w:rPr>
            </w:pPr>
            <w:r w:rsidRPr="00AA3CF9">
              <w:rPr>
                <w:bCs/>
                <w:sz w:val="24"/>
              </w:rPr>
              <w:t>FY 20</w:t>
            </w:r>
            <w:r w:rsidR="002C66E8" w:rsidRPr="00AA3CF9">
              <w:rPr>
                <w:bCs/>
                <w:sz w:val="24"/>
              </w:rPr>
              <w:t>18</w:t>
            </w:r>
          </w:p>
        </w:tc>
        <w:tc>
          <w:tcPr>
            <w:tcW w:w="2323" w:type="dxa"/>
          </w:tcPr>
          <w:p w14:paraId="44C70507" w14:textId="240EEB1F" w:rsidR="000B2A37" w:rsidRPr="00F46E4E" w:rsidRDefault="00323006" w:rsidP="00F46E4E">
            <w:pPr>
              <w:pStyle w:val="TableParagraph"/>
              <w:rPr>
                <w:bCs/>
                <w:sz w:val="24"/>
              </w:rPr>
            </w:pPr>
            <w:r w:rsidRPr="00F46E4E">
              <w:rPr>
                <w:bCs/>
                <w:sz w:val="24"/>
              </w:rPr>
              <w:t>-4.6%</w:t>
            </w:r>
          </w:p>
        </w:tc>
      </w:tr>
      <w:tr w:rsidR="000B2A37" w14:paraId="44C7050B" w14:textId="77777777">
        <w:trPr>
          <w:trHeight w:val="292"/>
        </w:trPr>
        <w:tc>
          <w:tcPr>
            <w:tcW w:w="2323" w:type="dxa"/>
          </w:tcPr>
          <w:p w14:paraId="44C70509" w14:textId="6B5EBEA1" w:rsidR="000B2A37" w:rsidRPr="00F46E4E" w:rsidRDefault="0091297B">
            <w:pPr>
              <w:pStyle w:val="TableParagraph"/>
              <w:rPr>
                <w:bCs/>
                <w:sz w:val="24"/>
              </w:rPr>
            </w:pPr>
            <w:r w:rsidRPr="00AA3CF9">
              <w:rPr>
                <w:bCs/>
                <w:sz w:val="24"/>
              </w:rPr>
              <w:t>FY 20</w:t>
            </w:r>
            <w:r w:rsidR="002C66E8" w:rsidRPr="00AA3CF9">
              <w:rPr>
                <w:bCs/>
                <w:sz w:val="24"/>
              </w:rPr>
              <w:t>17</w:t>
            </w:r>
          </w:p>
        </w:tc>
        <w:tc>
          <w:tcPr>
            <w:tcW w:w="2323" w:type="dxa"/>
          </w:tcPr>
          <w:p w14:paraId="44C7050A" w14:textId="2CC4136F" w:rsidR="000B2A37" w:rsidRPr="00F46E4E" w:rsidRDefault="00323006" w:rsidP="00F46E4E">
            <w:pPr>
              <w:pStyle w:val="TableParagraph"/>
              <w:rPr>
                <w:bCs/>
                <w:sz w:val="24"/>
              </w:rPr>
            </w:pPr>
            <w:r w:rsidRPr="00F46E4E">
              <w:rPr>
                <w:bCs/>
                <w:sz w:val="24"/>
              </w:rPr>
              <w:t>3.5%</w:t>
            </w:r>
          </w:p>
        </w:tc>
      </w:tr>
      <w:tr w:rsidR="000B2A37" w14:paraId="44C7050E" w14:textId="77777777">
        <w:trPr>
          <w:trHeight w:val="294"/>
        </w:trPr>
        <w:tc>
          <w:tcPr>
            <w:tcW w:w="2323" w:type="dxa"/>
          </w:tcPr>
          <w:p w14:paraId="44C7050C" w14:textId="792A675B" w:rsidR="000B2A37" w:rsidRPr="00F46E4E" w:rsidRDefault="0091297B" w:rsidP="00F46E4E">
            <w:pPr>
              <w:pStyle w:val="TableParagraph"/>
              <w:rPr>
                <w:bCs/>
                <w:sz w:val="24"/>
              </w:rPr>
            </w:pPr>
            <w:r w:rsidRPr="00AA3CF9">
              <w:rPr>
                <w:bCs/>
                <w:sz w:val="24"/>
              </w:rPr>
              <w:t>FY 20</w:t>
            </w:r>
            <w:r w:rsidR="002C66E8" w:rsidRPr="00AA3CF9">
              <w:rPr>
                <w:bCs/>
                <w:sz w:val="24"/>
              </w:rPr>
              <w:t>16</w:t>
            </w:r>
          </w:p>
        </w:tc>
        <w:tc>
          <w:tcPr>
            <w:tcW w:w="2323" w:type="dxa"/>
          </w:tcPr>
          <w:p w14:paraId="44C7050D" w14:textId="6ACC0CAF" w:rsidR="000B2A37" w:rsidRPr="00F46E4E" w:rsidRDefault="00323006" w:rsidP="00F46E4E">
            <w:pPr>
              <w:pStyle w:val="TableParagraph"/>
              <w:rPr>
                <w:bCs/>
                <w:sz w:val="24"/>
              </w:rPr>
            </w:pPr>
            <w:r w:rsidRPr="00F46E4E">
              <w:rPr>
                <w:bCs/>
                <w:sz w:val="24"/>
              </w:rPr>
              <w:t>22.2%</w:t>
            </w:r>
          </w:p>
        </w:tc>
      </w:tr>
    </w:tbl>
    <w:p w14:paraId="44C70515" w14:textId="77777777" w:rsidR="0091297B" w:rsidRDefault="0091297B"/>
    <w:sectPr w:rsidR="0091297B">
      <w:pgSz w:w="12240" w:h="15840"/>
      <w:pgMar w:top="1360" w:right="1340" w:bottom="2140" w:left="1320" w:header="0" w:footer="1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97687" w14:textId="77777777" w:rsidR="00DF1368" w:rsidRDefault="00DF1368">
      <w:r>
        <w:separator/>
      </w:r>
    </w:p>
  </w:endnote>
  <w:endnote w:type="continuationSeparator" w:id="0">
    <w:p w14:paraId="6586746A" w14:textId="77777777" w:rsidR="00DF1368" w:rsidRDefault="00DF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2BE41" w14:textId="77777777" w:rsidR="00F46E4E" w:rsidRDefault="00F46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0515" w14:textId="7BE7E9EA" w:rsidR="000B2A37" w:rsidRDefault="00F46E4E">
    <w:pPr>
      <w:pStyle w:val="BodyText"/>
      <w:spacing w:line="14" w:lineRule="auto"/>
      <w:rPr>
        <w:sz w:val="20"/>
      </w:rPr>
    </w:pPr>
    <w:r>
      <w:rPr>
        <w:noProof/>
      </w:rPr>
      <mc:AlternateContent>
        <mc:Choice Requires="wps">
          <w:drawing>
            <wp:anchor distT="0" distB="0" distL="114300" distR="114300" simplePos="0" relativeHeight="487484416" behindDoc="1" locked="0" layoutInCell="1" allowOverlap="1" wp14:anchorId="44C70517" wp14:editId="28C78367">
              <wp:simplePos x="0" y="0"/>
              <wp:positionH relativeFrom="page">
                <wp:posOffset>2082800</wp:posOffset>
              </wp:positionH>
              <wp:positionV relativeFrom="page">
                <wp:posOffset>8699500</wp:posOffset>
              </wp:positionV>
              <wp:extent cx="4789805" cy="120650"/>
              <wp:effectExtent l="0" t="0" r="1079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70519" w14:textId="17F01C4A" w:rsidR="000B2A37" w:rsidRDefault="0091297B">
                          <w:pPr>
                            <w:spacing w:line="223" w:lineRule="exact"/>
                            <w:ind w:left="20"/>
                            <w:rPr>
                              <w:sz w:val="20"/>
                            </w:rPr>
                          </w:pPr>
                          <w:r>
                            <w:rPr>
                              <w:sz w:val="20"/>
                            </w:rPr>
                            <w:t xml:space="preserve">TEXAS DEPARTMENT OF INFORMATION RESOURCES | </w:t>
                          </w:r>
                          <w:hyperlink r:id="rId1">
                            <w:r>
                              <w:rPr>
                                <w:color w:val="0000FF"/>
                                <w:sz w:val="20"/>
                                <w:u w:val="single" w:color="0000FF"/>
                              </w:rPr>
                              <w:t>www.dir.texas.gov</w:t>
                            </w:r>
                            <w:r>
                              <w:rPr>
                                <w:color w:val="0000FF"/>
                                <w:sz w:val="20"/>
                              </w:rPr>
                              <w:t xml:space="preserve"> </w:t>
                            </w:r>
                          </w:hyperlink>
                          <w:r>
                            <w:rPr>
                              <w:sz w:val="20"/>
                            </w:rPr>
                            <w:t xml:space="preserve">| </w:t>
                          </w:r>
                          <w:r w:rsidR="00F46E4E">
                            <w:rPr>
                              <w:sz w:val="20"/>
                            </w:rPr>
                            <w:t xml:space="preserve">December </w:t>
                          </w:r>
                          <w:r w:rsidR="00CB2654">
                            <w:rPr>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70517" id="_x0000_t202" coordsize="21600,21600" o:spt="202" path="m,l,21600r21600,l21600,xe">
              <v:stroke joinstyle="miter"/>
              <v:path gradientshapeok="t" o:connecttype="rect"/>
            </v:shapetype>
            <v:shape id="Text Box 2" o:spid="_x0000_s1026" type="#_x0000_t202" style="position:absolute;margin-left:164pt;margin-top:685pt;width:377.15pt;height:9.5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" filled="f" stroked="f">
              <v:textbox inset="0,0,0,0">
                <w:txbxContent>
                  <w:p w14:paraId="44C70519" w14:textId="17F01C4A" w:rsidR="000B2A37" w:rsidRDefault="0091297B">
                    <w:pPr>
                      <w:spacing w:line="223" w:lineRule="exact"/>
                      <w:ind w:left="20"/>
                      <w:rPr>
                        <w:sz w:val="20"/>
                      </w:rPr>
                    </w:pPr>
                    <w:r>
                      <w:rPr>
                        <w:sz w:val="20"/>
                      </w:rPr>
                      <w:t xml:space="preserve">TEXAS DEPARTMENT OF INFORMATION RESOURCES | </w:t>
                    </w:r>
                    <w:hyperlink r:id="rId2">
                      <w:r>
                        <w:rPr>
                          <w:color w:val="0000FF"/>
                          <w:sz w:val="20"/>
                          <w:u w:val="single" w:color="0000FF"/>
                        </w:rPr>
                        <w:t>www.dir.texas.gov</w:t>
                      </w:r>
                      <w:r>
                        <w:rPr>
                          <w:color w:val="0000FF"/>
                          <w:sz w:val="20"/>
                        </w:rPr>
                        <w:t xml:space="preserve"> </w:t>
                      </w:r>
                    </w:hyperlink>
                    <w:r>
                      <w:rPr>
                        <w:sz w:val="20"/>
                      </w:rPr>
                      <w:t xml:space="preserve">| </w:t>
                    </w:r>
                    <w:r w:rsidR="00F46E4E">
                      <w:rPr>
                        <w:sz w:val="20"/>
                      </w:rPr>
                      <w:t xml:space="preserve">December </w:t>
                    </w:r>
                    <w:r w:rsidR="00CB2654">
                      <w:rPr>
                        <w:sz w:val="20"/>
                      </w:rPr>
                      <w:t>2020</w:t>
                    </w:r>
                  </w:p>
                </w:txbxContent>
              </v:textbox>
              <w10:wrap anchorx="page" anchory="page"/>
            </v:shape>
          </w:pict>
        </mc:Fallback>
      </mc:AlternateContent>
    </w:r>
    <w:r w:rsidR="00C7730C">
      <w:rPr>
        <w:noProof/>
      </w:rPr>
      <mc:AlternateContent>
        <mc:Choice Requires="wps">
          <w:drawing>
            <wp:anchor distT="0" distB="0" distL="114300" distR="114300" simplePos="0" relativeHeight="487483904" behindDoc="1" locked="0" layoutInCell="1" allowOverlap="1" wp14:anchorId="44C70516" wp14:editId="0C1BB0AE">
              <wp:simplePos x="0" y="0"/>
              <wp:positionH relativeFrom="page">
                <wp:posOffset>895985</wp:posOffset>
              </wp:positionH>
              <wp:positionV relativeFrom="page">
                <wp:posOffset>8644255</wp:posOffset>
              </wp:positionV>
              <wp:extent cx="5980430"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C8C93" id="Rectangle 3" o:spid="_x0000_s1026" style="position:absolute;margin-left:70.55pt;margin-top:680.65pt;width:470.9pt;height:.7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" fillcolor="black" stroked="f">
              <w10:wrap anchorx="page" anchory="page"/>
            </v:rect>
          </w:pict>
        </mc:Fallback>
      </mc:AlternateContent>
    </w:r>
    <w:r w:rsidR="00C7730C">
      <w:rPr>
        <w:noProof/>
      </w:rPr>
      <mc:AlternateContent>
        <mc:Choice Requires="wps">
          <w:drawing>
            <wp:anchor distT="0" distB="0" distL="114300" distR="114300" simplePos="0" relativeHeight="487484928" behindDoc="1" locked="0" layoutInCell="1" allowOverlap="1" wp14:anchorId="44C70518" wp14:editId="2CF97919">
              <wp:simplePos x="0" y="0"/>
              <wp:positionH relativeFrom="page">
                <wp:posOffset>6275070</wp:posOffset>
              </wp:positionH>
              <wp:positionV relativeFrom="page">
                <wp:posOffset>9289415</wp:posOffset>
              </wp:positionV>
              <wp:extent cx="63246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7051A" w14:textId="77777777" w:rsidR="000B2A37" w:rsidRDefault="0091297B">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70518" id="Text Box 1" o:spid="_x0000_s1027" type="#_x0000_t202" style="position:absolute;margin-left:494.1pt;margin-top:731.45pt;width:49.8pt;height:12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" filled="f" stroked="f">
              <v:textbox inset="0,0,0,0">
                <w:txbxContent>
                  <w:p w14:paraId="44C7051A" w14:textId="77777777" w:rsidR="000B2A37" w:rsidRDefault="0091297B">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95FAD" w14:textId="77777777" w:rsidR="00F46E4E" w:rsidRDefault="00F46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810BF" w14:textId="77777777" w:rsidR="00DF1368" w:rsidRDefault="00DF1368">
      <w:r>
        <w:separator/>
      </w:r>
    </w:p>
  </w:footnote>
  <w:footnote w:type="continuationSeparator" w:id="0">
    <w:p w14:paraId="1BA93561" w14:textId="77777777" w:rsidR="00DF1368" w:rsidRDefault="00DF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59554" w14:textId="77777777" w:rsidR="00F46E4E" w:rsidRDefault="00F46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8ECC" w14:textId="77777777" w:rsidR="00F46E4E" w:rsidRDefault="00F46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4509" w14:textId="77777777" w:rsidR="00F46E4E" w:rsidRDefault="00F46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37"/>
    <w:rsid w:val="0002794D"/>
    <w:rsid w:val="000B2A37"/>
    <w:rsid w:val="0019530B"/>
    <w:rsid w:val="00221574"/>
    <w:rsid w:val="002C66E8"/>
    <w:rsid w:val="00323006"/>
    <w:rsid w:val="00776985"/>
    <w:rsid w:val="007A22C9"/>
    <w:rsid w:val="008E4497"/>
    <w:rsid w:val="0091297B"/>
    <w:rsid w:val="0093744E"/>
    <w:rsid w:val="00A402F3"/>
    <w:rsid w:val="00AA3CF9"/>
    <w:rsid w:val="00B20131"/>
    <w:rsid w:val="00BE59BA"/>
    <w:rsid w:val="00C7730C"/>
    <w:rsid w:val="00CB2654"/>
    <w:rsid w:val="00CC2ABC"/>
    <w:rsid w:val="00CE36C5"/>
    <w:rsid w:val="00DF1368"/>
    <w:rsid w:val="00F46E4E"/>
    <w:rsid w:val="00F626FB"/>
    <w:rsid w:val="00FD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704AE"/>
  <w15:docId w15:val="{91530315-97F5-491C-8E5D-9CE59F46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21"/>
      <w:ind w:left="120" w:right="98"/>
    </w:pPr>
    <w:rPr>
      <w:rFonts w:ascii="Cambria" w:eastAsia="Cambria" w:hAnsi="Cambria" w:cs="Cambria"/>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2" w:lineRule="exact"/>
      <w:ind w:left="107"/>
    </w:pPr>
  </w:style>
  <w:style w:type="paragraph" w:styleId="BalloonText">
    <w:name w:val="Balloon Text"/>
    <w:basedOn w:val="Normal"/>
    <w:link w:val="BalloonTextChar"/>
    <w:uiPriority w:val="99"/>
    <w:semiHidden/>
    <w:unhideWhenUsed/>
    <w:rsid w:val="00027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4D"/>
    <w:rPr>
      <w:rFonts w:ascii="Segoe UI" w:eastAsia="Calibri" w:hAnsi="Segoe UI" w:cs="Segoe UI"/>
      <w:sz w:val="18"/>
      <w:szCs w:val="18"/>
    </w:rPr>
  </w:style>
  <w:style w:type="paragraph" w:styleId="Header">
    <w:name w:val="header"/>
    <w:basedOn w:val="Normal"/>
    <w:link w:val="HeaderChar"/>
    <w:uiPriority w:val="99"/>
    <w:unhideWhenUsed/>
    <w:rsid w:val="00C7730C"/>
    <w:pPr>
      <w:tabs>
        <w:tab w:val="center" w:pos="4680"/>
        <w:tab w:val="right" w:pos="9360"/>
      </w:tabs>
    </w:pPr>
  </w:style>
  <w:style w:type="character" w:customStyle="1" w:styleId="HeaderChar">
    <w:name w:val="Header Char"/>
    <w:basedOn w:val="DefaultParagraphFont"/>
    <w:link w:val="Header"/>
    <w:uiPriority w:val="99"/>
    <w:rsid w:val="00C7730C"/>
    <w:rPr>
      <w:rFonts w:ascii="Calibri" w:eastAsia="Calibri" w:hAnsi="Calibri" w:cs="Calibri"/>
    </w:rPr>
  </w:style>
  <w:style w:type="paragraph" w:styleId="Footer">
    <w:name w:val="footer"/>
    <w:basedOn w:val="Normal"/>
    <w:link w:val="FooterChar"/>
    <w:uiPriority w:val="99"/>
    <w:unhideWhenUsed/>
    <w:rsid w:val="00C7730C"/>
    <w:pPr>
      <w:tabs>
        <w:tab w:val="center" w:pos="4680"/>
        <w:tab w:val="right" w:pos="9360"/>
      </w:tabs>
    </w:pPr>
  </w:style>
  <w:style w:type="character" w:customStyle="1" w:styleId="FooterChar">
    <w:name w:val="Footer Char"/>
    <w:basedOn w:val="DefaultParagraphFont"/>
    <w:link w:val="Footer"/>
    <w:uiPriority w:val="99"/>
    <w:rsid w:val="00C773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hyperlink" Target="http://www.dir.texas.gov/" TargetMode="External"/><Relationship Id="rId1" Type="http://schemas.openxmlformats.org/officeDocument/2006/relationships/hyperlink" Target="http://www.dir.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ize xmlns="1624d5a5-934e-431c-bdeb-2205adc15921">35.988262824</DocumentSize>
    <RedirectURL xmlns="1624d5a5-934e-431c-bdeb-2205adc15921">/portal/internal/resources/DocumentLibrary/HB12 Information Regarding Staff Compensation.docx</RedirectURL>
    <DocumentCategory xmlns="1624d5a5-934e-431c-bdeb-2205adc15921">Other</DocumentCategory>
    <DocumentSummary xmlns="1624d5a5-934e-431c-bdeb-2205adc15921">HB12 Information Regarding Staff Compensation</DocumentSummary>
    <SearchKeywords xmlns="1624d5a5-934e-431c-bdeb-2205adc15921">HB12 Information Regarding Staff Compensation; HB12; Staff; compensation;</SearchKeywords>
    <TaxCatchAll xmlns="1624d5a5-934e-431c-bdeb-2205adc15921"/>
    <TSLACSubject xmlns="1624d5a5-934e-431c-bdeb-2205adc15921">
      <Value>Executive Departments</Value>
      <Value>Government Information</Value>
      <Value>State Governments</Value>
    </TSLACSubject>
    <DocumentPublishDate xmlns="1624d5a5-934e-431c-bdeb-2205adc15921">2017-02-21T06:00:00+00:00</DocumentPublishDate>
    <DocumentExtension xmlns="1624d5a5-934e-431c-bdeb-2205adc15921">docx</DocumentExtension>
    <TaxKeywordTaxHTField xmlns="1624d5a5-934e-431c-bdeb-2205adc15921">
      <Terms xmlns="http://schemas.microsoft.com/office/infopath/2007/PartnerControls"/>
    </TaxKeywordTaxHTField>
    <DIRDepartment xmlns="1624d5a5-934e-431c-bdeb-2205adc15921">General</DIRDepartment>
    <SearchSummary xmlns="1624d5a5-934e-431c-bdeb-2205adc15921">HB12 Information Regarding Staff Compensation</SearchSummary>
    <TSLACType xmlns="1624d5a5-934e-431c-bdeb-2205adc15921">Web documents - Undefined</TSLACType>
  </documentManagement>
</p:properties>
</file>

<file path=customXml/itemProps1.xml><?xml version="1.0" encoding="utf-8"?>
<ds:datastoreItem xmlns:ds="http://schemas.openxmlformats.org/officeDocument/2006/customXml" ds:itemID="{34A30016-90E8-43D5-8BCD-71967BD9B371}"/>
</file>

<file path=customXml/itemProps2.xml><?xml version="1.0" encoding="utf-8"?>
<ds:datastoreItem xmlns:ds="http://schemas.openxmlformats.org/officeDocument/2006/customXml" ds:itemID="{ED5167E7-0F52-4601-A467-4F1634482146}"/>
</file>

<file path=customXml/itemProps3.xml><?xml version="1.0" encoding="utf-8"?>
<ds:datastoreItem xmlns:ds="http://schemas.openxmlformats.org/officeDocument/2006/customXml" ds:itemID="{0DA8445C-D37D-45D2-BC87-35C5482B7FC7}"/>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HB12 Information Regarding Staff Compensation</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 Information Regarding Staff Compensation</dc:title>
  <dc:creator>Ivan Smith</dc:creator>
  <cp:keywords/>
  <cp:lastModifiedBy>Lisa Jammer</cp:lastModifiedBy>
  <cp:revision>3</cp:revision>
  <dcterms:created xsi:type="dcterms:W3CDTF">2021-01-12T01:32:00Z</dcterms:created>
  <dcterms:modified xsi:type="dcterms:W3CDTF">2021-01-12T01:35:00Z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19 for Word</vt:lpwstr>
  </property>
  <property fmtid="{D5CDD505-2E9C-101B-9397-08002B2CF9AE}" pid="4" name="LastSaved">
    <vt:filetime>2020-11-17T00:00:00Z</vt:filetime>
  </property>
  <property fmtid="{D5CDD505-2E9C-101B-9397-08002B2CF9AE}" pid="5" name="TaxKeyword">
    <vt:lpwstr/>
  </property>
  <property fmtid="{D5CDD505-2E9C-101B-9397-08002B2CF9AE}" pid="6" name="WorkflowChangePath">
    <vt:lpwstr>4e7f0d7b-af58-4d14-a711-25a4e8942f2a,4;4e7f0d7b-af58-4d14-a711-25a4e8942f2a,4;4e7f0d7b-af58-4d14-a711-25a4e8942f2a,4;4e7f0d7b-af58-4d14-a711-25a4e8942f2a,4;4e7f0d7b-af58-4d14-a711-25a4e8942f2a,4;4e7f0d7b-af58-4d14-a711-25a4e8942f2a,4;4e7f0d7b-af58-4d14-a74e7f0d7b-af58-4d14-a711-25a4e8942f2a,10;4e7f0d7b-af58-4d14-a711-25a4e8942f2a,10;4e7f0d7b-af58-4d14-a711-25a4e8942f2a,10;4e7f0d7b-af58-4d14-a711-25a4e8942f2a,10;4e7f0d7b-af58-4d14-a711-25a4e8942f2a,10;4e7f0d7b-af58-4d14-a711-25a4e8942f2a,10;4e7f0d7b-af58-4d14-a711-25a4e8942f2a,10;4e7f0d7b-af58-4d14-a711-25a4e8942f2a,15;4e7f0d7b-af58-4d14-a711-25a4e8942f2a,15;4e7f0d7b-af58-4d14-a711-25a4e8942f2a,15;4e7f0d7b-af58-4d14-a711-25a4e8942f2a,15;4e7f0d7b-af58-4d14-a711-25a4e8942f2a,15;4e7f0d7b-af58-4d14-a711-25a4e8942f2a,15;4e7f0d7b-af58-4d14-a711-25a4e8942f2a,15;</vt:lpwstr>
  </property>
  <property fmtid="{D5CDD505-2E9C-101B-9397-08002B2CF9AE}" pid="7" name="ContentTypeId">
    <vt:lpwstr>0x010100BC37E061906B8D41B78466604C53C4AE</vt:lpwstr>
  </property>
</Properties>
</file>