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9B41A" w14:textId="77777777" w:rsidR="000612C8" w:rsidRPr="000612C8" w:rsidRDefault="000612C8" w:rsidP="00E7673A">
      <w:pPr>
        <w:pStyle w:val="Heading2"/>
      </w:pPr>
      <w:bookmarkStart w:id="0" w:name="_GoBack"/>
      <w:bookmarkEnd w:id="0"/>
      <w:r w:rsidRPr="000612C8">
        <w:t>SACC</w:t>
      </w:r>
      <w:r w:rsidR="00E7673A">
        <w:t xml:space="preserve"> | SA</w:t>
      </w:r>
      <w:r w:rsidR="00363256">
        <w:t>QPII</w:t>
      </w:r>
      <w:r w:rsidR="00E7673A">
        <w:t xml:space="preserve"> Subcommittee | Bylaws</w:t>
      </w:r>
      <w:r w:rsidRPr="000612C8">
        <w:t> </w:t>
      </w:r>
    </w:p>
    <w:p w14:paraId="6449B41B" w14:textId="77777777" w:rsidR="00E7673A" w:rsidRPr="00E7673A" w:rsidRDefault="00E7673A" w:rsidP="00E7673A">
      <w:pPr>
        <w:pStyle w:val="Heading3"/>
      </w:pPr>
      <w:r w:rsidRPr="00E7673A">
        <w:t>ARTICLE I - Purpose</w:t>
      </w:r>
    </w:p>
    <w:p w14:paraId="6449B41C" w14:textId="77777777" w:rsidR="00E7673A" w:rsidRDefault="00E7673A" w:rsidP="00E7673A">
      <w:pPr>
        <w:pStyle w:val="Heading4"/>
      </w:pPr>
      <w:r w:rsidRPr="00E7673A">
        <w:t>Section 1.</w:t>
      </w:r>
    </w:p>
    <w:p w14:paraId="6449B41D" w14:textId="77777777" w:rsidR="00E7673A" w:rsidRPr="00E7673A" w:rsidRDefault="00E7673A" w:rsidP="00E7673A">
      <w:r w:rsidRPr="00E7673A">
        <w:t xml:space="preserve">The primary mission of the State Agency Coordinating Committee (SACC) is to examine administrative and management </w:t>
      </w:r>
      <w:r w:rsidR="007F0878">
        <w:t xml:space="preserve">practices, to review problems </w:t>
      </w:r>
      <w:r w:rsidRPr="00E7673A">
        <w:t xml:space="preserve">or issues, which have impact across agency lines, and to encourage and foster management practices, which are beneficial and cost effective for all state agencies.  In furtherance of this mission, the State Agency </w:t>
      </w:r>
      <w:r w:rsidR="00363256">
        <w:t xml:space="preserve">of Quality, Process Improvement and Innovation </w:t>
      </w:r>
      <w:r w:rsidRPr="00E7673A">
        <w:t xml:space="preserve">has been established </w:t>
      </w:r>
      <w:r w:rsidR="00363256">
        <w:t>to improve the delivery of state services.</w:t>
      </w:r>
    </w:p>
    <w:p w14:paraId="6449B41E" w14:textId="77777777" w:rsidR="00E7673A" w:rsidRPr="00E7673A" w:rsidRDefault="00E7673A" w:rsidP="00E7673A">
      <w:pPr>
        <w:pStyle w:val="Heading4"/>
      </w:pPr>
      <w:r w:rsidRPr="00E7673A">
        <w:t>Mission</w:t>
      </w:r>
    </w:p>
    <w:p w14:paraId="6449B41F" w14:textId="77777777" w:rsidR="00E7673A" w:rsidRPr="00E7673A" w:rsidRDefault="00E7673A" w:rsidP="00E7673A">
      <w:r w:rsidRPr="00E7673A">
        <w:t xml:space="preserve">The mission of the Texas State Agency </w:t>
      </w:r>
      <w:r w:rsidR="00363256">
        <w:t>of Quality, Process Improvement and Innovation</w:t>
      </w:r>
      <w:r w:rsidRPr="00E7673A">
        <w:t xml:space="preserve"> (SA</w:t>
      </w:r>
      <w:r w:rsidR="00363256">
        <w:t>QPII</w:t>
      </w:r>
      <w:r w:rsidRPr="00E7673A">
        <w:t xml:space="preserve">) is to promote the effective and efficient use of state agency </w:t>
      </w:r>
      <w:r w:rsidR="00363256">
        <w:t>improvement minded</w:t>
      </w:r>
      <w:r w:rsidRPr="00E7673A">
        <w:t xml:space="preserve"> </w:t>
      </w:r>
      <w:r w:rsidR="00363256">
        <w:t>resources to provide a culture of continuous improvement</w:t>
      </w:r>
      <w:r w:rsidRPr="00E7673A">
        <w:t>.</w:t>
      </w:r>
    </w:p>
    <w:p w14:paraId="6449B420" w14:textId="77777777" w:rsidR="00E7673A" w:rsidRPr="00E7673A" w:rsidRDefault="00E7673A" w:rsidP="00E7673A">
      <w:pPr>
        <w:pStyle w:val="Heading4"/>
      </w:pPr>
      <w:r w:rsidRPr="00E7673A">
        <w:t>Goals</w:t>
      </w:r>
    </w:p>
    <w:p w14:paraId="6449B421" w14:textId="77777777" w:rsidR="00E7673A" w:rsidRPr="00E7673A" w:rsidRDefault="00E7673A" w:rsidP="00E7673A">
      <w:pPr>
        <w:pStyle w:val="ListParagraph"/>
        <w:numPr>
          <w:ilvl w:val="0"/>
          <w:numId w:val="5"/>
        </w:numPr>
      </w:pPr>
      <w:r w:rsidRPr="00E7673A">
        <w:t>Exchange ideas and information,</w:t>
      </w:r>
    </w:p>
    <w:p w14:paraId="6449B422" w14:textId="77777777" w:rsidR="00E7673A" w:rsidRPr="00E7673A" w:rsidRDefault="00E7673A" w:rsidP="00E7673A">
      <w:pPr>
        <w:pStyle w:val="ListParagraph"/>
        <w:numPr>
          <w:ilvl w:val="0"/>
          <w:numId w:val="5"/>
        </w:numPr>
      </w:pPr>
      <w:r w:rsidRPr="00E7673A">
        <w:t>Solve problems of common objectives,</w:t>
      </w:r>
    </w:p>
    <w:p w14:paraId="6449B423" w14:textId="77777777" w:rsidR="00E7673A" w:rsidRPr="00E7673A" w:rsidRDefault="00E7673A" w:rsidP="00E7673A">
      <w:pPr>
        <w:pStyle w:val="ListParagraph"/>
        <w:numPr>
          <w:ilvl w:val="0"/>
          <w:numId w:val="5"/>
        </w:numPr>
      </w:pPr>
      <w:r w:rsidRPr="00E7673A">
        <w:t>Facilitate professional development,</w:t>
      </w:r>
    </w:p>
    <w:p w14:paraId="6449B424" w14:textId="77777777" w:rsidR="00E7673A" w:rsidRPr="00E7673A" w:rsidRDefault="00E7673A" w:rsidP="00E7673A">
      <w:pPr>
        <w:pStyle w:val="ListParagraph"/>
        <w:numPr>
          <w:ilvl w:val="0"/>
          <w:numId w:val="5"/>
        </w:numPr>
      </w:pPr>
      <w:r w:rsidRPr="00E7673A">
        <w:t xml:space="preserve">Communicate needs and issues </w:t>
      </w:r>
      <w:r w:rsidR="00363256">
        <w:t>that prevent change</w:t>
      </w:r>
      <w:r w:rsidRPr="00E7673A">
        <w:t>, and</w:t>
      </w:r>
    </w:p>
    <w:p w14:paraId="6449B425" w14:textId="77777777" w:rsidR="00E7673A" w:rsidRPr="00E7673A" w:rsidRDefault="00E7673A" w:rsidP="00E7673A">
      <w:pPr>
        <w:pStyle w:val="ListParagraph"/>
        <w:numPr>
          <w:ilvl w:val="0"/>
          <w:numId w:val="5"/>
        </w:numPr>
      </w:pPr>
      <w:r w:rsidRPr="00E7673A">
        <w:t>Provide unified input to interested parties.</w:t>
      </w:r>
    </w:p>
    <w:p w14:paraId="6449B426" w14:textId="77777777" w:rsidR="00E7673A" w:rsidRPr="00E7673A" w:rsidRDefault="00E7673A" w:rsidP="00E7673A">
      <w:pPr>
        <w:pStyle w:val="Heading3"/>
      </w:pPr>
      <w:r w:rsidRPr="00E7673A">
        <w:t>ARTICLE II - Membership</w:t>
      </w:r>
    </w:p>
    <w:p w14:paraId="6449B427" w14:textId="77777777" w:rsidR="00E7673A" w:rsidRPr="00E7673A" w:rsidRDefault="00E7673A" w:rsidP="00E7673A">
      <w:pPr>
        <w:pStyle w:val="Heading4"/>
      </w:pPr>
      <w:r w:rsidRPr="00E7673A">
        <w:t>Section 1.</w:t>
      </w:r>
    </w:p>
    <w:p w14:paraId="6449B428" w14:textId="77777777" w:rsidR="00E7673A" w:rsidRPr="00E7673A" w:rsidRDefault="00E145F6" w:rsidP="00E7673A">
      <w:r>
        <w:t>SAQPII</w:t>
      </w:r>
      <w:r w:rsidR="00E7673A" w:rsidRPr="00E7673A">
        <w:t xml:space="preserve"> is a voluntary association composed of representatives of each state agency and institution of higher education with </w:t>
      </w:r>
      <w:r>
        <w:t>a process improvement</w:t>
      </w:r>
      <w:r w:rsidR="00E7673A" w:rsidRPr="00E7673A">
        <w:t xml:space="preserve"> function.  In this document, "agency" refers to both state agencies and institutions of higher education.</w:t>
      </w:r>
    </w:p>
    <w:p w14:paraId="6449B429" w14:textId="77777777" w:rsidR="00E7673A" w:rsidRPr="00E7673A" w:rsidRDefault="00E7673A" w:rsidP="00E7673A">
      <w:pPr>
        <w:pStyle w:val="Heading4"/>
      </w:pPr>
      <w:r w:rsidRPr="00E7673A">
        <w:t>Section 2.</w:t>
      </w:r>
    </w:p>
    <w:p w14:paraId="6449B42A" w14:textId="77777777" w:rsidR="00E7673A" w:rsidRPr="00E7673A" w:rsidRDefault="00B37D83" w:rsidP="00B37D83">
      <w:r>
        <w:t xml:space="preserve">Each agency’s Quality, Process Improvement and Innovation designee will be appointed by their Director and shall represent the agency on the SAQPII.  Each member agency shall be the designated </w:t>
      </w:r>
      <w:r w:rsidR="00E7673A" w:rsidRPr="00E7673A">
        <w:t>representative for that agency.</w:t>
      </w:r>
    </w:p>
    <w:p w14:paraId="6449B42B" w14:textId="77777777" w:rsidR="00E7673A" w:rsidRPr="00E7673A" w:rsidRDefault="00E7673A" w:rsidP="00E7673A">
      <w:pPr>
        <w:pStyle w:val="Heading4"/>
      </w:pPr>
      <w:r w:rsidRPr="00E7673A">
        <w:t>Section 3.</w:t>
      </w:r>
    </w:p>
    <w:p w14:paraId="6449B42C" w14:textId="77777777" w:rsidR="00E7673A" w:rsidRDefault="00B37D83" w:rsidP="00E7673A">
      <w:r>
        <w:t>SAQPII</w:t>
      </w:r>
      <w:r w:rsidR="00E7673A" w:rsidRPr="00E7673A">
        <w:t xml:space="preserve"> may establish work groups as necessary to accomplish its goals.</w:t>
      </w:r>
    </w:p>
    <w:p w14:paraId="6449B42D" w14:textId="77777777" w:rsidR="00A74FC7" w:rsidRPr="00E7673A" w:rsidRDefault="00A74FC7" w:rsidP="00A74FC7">
      <w:pPr>
        <w:pStyle w:val="Heading4"/>
      </w:pPr>
      <w:r w:rsidRPr="00E7673A">
        <w:t xml:space="preserve">Section </w:t>
      </w:r>
      <w:r>
        <w:t>4</w:t>
      </w:r>
      <w:r w:rsidRPr="00E7673A">
        <w:t>.</w:t>
      </w:r>
    </w:p>
    <w:p w14:paraId="6449B42E" w14:textId="77777777" w:rsidR="00A74FC7" w:rsidRDefault="00A74FC7" w:rsidP="00A74FC7">
      <w:r>
        <w:t>Non-SACC agencies may designate a Quality, Process Improvement and Innovation representative to be a SAQPII</w:t>
      </w:r>
      <w:r w:rsidRPr="00E7673A">
        <w:t xml:space="preserve"> </w:t>
      </w:r>
      <w:r>
        <w:t>representative</w:t>
      </w:r>
      <w:r w:rsidRPr="00E7673A">
        <w:t>.</w:t>
      </w:r>
    </w:p>
    <w:p w14:paraId="6449B42F" w14:textId="77777777" w:rsidR="00E7673A" w:rsidRPr="00E7673A" w:rsidRDefault="00E7673A" w:rsidP="00E7673A">
      <w:pPr>
        <w:pStyle w:val="Heading3"/>
      </w:pPr>
      <w:r w:rsidRPr="00E7673A">
        <w:t>ARTICLE III - Officers</w:t>
      </w:r>
    </w:p>
    <w:p w14:paraId="6449B430" w14:textId="77777777" w:rsidR="00E7673A" w:rsidRPr="00E7673A" w:rsidRDefault="00E7673A" w:rsidP="00E7673A">
      <w:pPr>
        <w:pStyle w:val="Heading4"/>
      </w:pPr>
      <w:r w:rsidRPr="00E7673A">
        <w:t>Section 1.</w:t>
      </w:r>
    </w:p>
    <w:p w14:paraId="6449B431" w14:textId="77777777" w:rsidR="00E7673A" w:rsidRPr="00E7673A" w:rsidRDefault="00E7673A" w:rsidP="00E7673A">
      <w:r w:rsidRPr="00E7673A">
        <w:t xml:space="preserve">The primary officers of </w:t>
      </w:r>
      <w:r w:rsidR="00B37D83">
        <w:t>SAQPII</w:t>
      </w:r>
      <w:r w:rsidRPr="00E7673A">
        <w:t xml:space="preserve"> will be the elected Chair, Vice-Chair, and Recorder.   Eligibility to serve as a Chair and Vice-Chair is limited to </w:t>
      </w:r>
      <w:r w:rsidR="00B37D83">
        <w:t>Quality, Process Improvement and Innovation Professionals</w:t>
      </w:r>
      <w:r w:rsidRPr="00E7673A">
        <w:t xml:space="preserve">.  The term of office will be two years, beginning on September 1 of each </w:t>
      </w:r>
      <w:r w:rsidR="004561DF">
        <w:t>alternate</w:t>
      </w:r>
      <w:r w:rsidRPr="00E7673A">
        <w:t xml:space="preserve"> year.  Vacancies in any office will be filled through an election to be held as soon as practical to fill the unexpired term.</w:t>
      </w:r>
    </w:p>
    <w:p w14:paraId="6449B432" w14:textId="77777777" w:rsidR="00E7673A" w:rsidRPr="00E7673A" w:rsidRDefault="00E7673A" w:rsidP="00E7673A">
      <w:pPr>
        <w:pStyle w:val="Heading4"/>
      </w:pPr>
      <w:r w:rsidRPr="00E7673A">
        <w:t>Section 2.</w:t>
      </w:r>
    </w:p>
    <w:p w14:paraId="6449B433" w14:textId="77777777" w:rsidR="00E7673A" w:rsidRPr="00E7673A" w:rsidRDefault="00E7673A" w:rsidP="00E7673A">
      <w:r w:rsidRPr="00E7673A">
        <w:t>Officers may be elected for no more than two consecutive terms without the concurrence of the full SA</w:t>
      </w:r>
      <w:r w:rsidR="00B37D83">
        <w:t>QPII.  It is the intent of SAQPII</w:t>
      </w:r>
      <w:r w:rsidRPr="00E7673A">
        <w:t xml:space="preserve"> that officers be selected from different agencies over time.</w:t>
      </w:r>
    </w:p>
    <w:p w14:paraId="6449B434" w14:textId="77777777" w:rsidR="00E7673A" w:rsidRPr="00E7673A" w:rsidRDefault="00E7673A" w:rsidP="00E7673A">
      <w:pPr>
        <w:pStyle w:val="Heading4"/>
      </w:pPr>
      <w:r w:rsidRPr="00E7673A">
        <w:lastRenderedPageBreak/>
        <w:t>Section 3.</w:t>
      </w:r>
    </w:p>
    <w:p w14:paraId="6449B435" w14:textId="77777777" w:rsidR="00E7673A" w:rsidRPr="00E7673A" w:rsidRDefault="00B37D83" w:rsidP="00E7673A">
      <w:pPr>
        <w:spacing w:after="0"/>
      </w:pPr>
      <w:r>
        <w:t>The SAQPII</w:t>
      </w:r>
      <w:r w:rsidR="00E7673A" w:rsidRPr="00E7673A">
        <w:t xml:space="preserve"> Chair’s responsibilities include:</w:t>
      </w:r>
    </w:p>
    <w:p w14:paraId="6449B436" w14:textId="77777777" w:rsidR="00E7673A" w:rsidRPr="00E7673A" w:rsidRDefault="00E7673A" w:rsidP="00E7673A">
      <w:pPr>
        <w:pStyle w:val="ListParagraph"/>
        <w:numPr>
          <w:ilvl w:val="0"/>
          <w:numId w:val="6"/>
        </w:numPr>
      </w:pPr>
      <w:r w:rsidRPr="00E7673A">
        <w:t>Establishing an agen</w:t>
      </w:r>
      <w:r w:rsidR="00B37D83">
        <w:t>da for and scheduling SAQPII</w:t>
      </w:r>
      <w:r w:rsidRPr="00E7673A">
        <w:t xml:space="preserve"> meetings,</w:t>
      </w:r>
    </w:p>
    <w:p w14:paraId="6449B437" w14:textId="77777777" w:rsidR="00E7673A" w:rsidRPr="00E7673A" w:rsidRDefault="00E7673A" w:rsidP="00E7673A">
      <w:pPr>
        <w:pStyle w:val="ListParagraph"/>
        <w:numPr>
          <w:ilvl w:val="0"/>
          <w:numId w:val="6"/>
        </w:numPr>
      </w:pPr>
      <w:r w:rsidRPr="00E7673A">
        <w:t>Ensuring that the SACC Chair and the SACC liaiso</w:t>
      </w:r>
      <w:r w:rsidR="00B37D83">
        <w:t>n are properly informed of SAQPII</w:t>
      </w:r>
      <w:r w:rsidRPr="00E7673A">
        <w:t xml:space="preserve"> activities,</w:t>
      </w:r>
    </w:p>
    <w:p w14:paraId="6449B438" w14:textId="77777777" w:rsidR="00E7673A" w:rsidRPr="00E7673A" w:rsidRDefault="00E7673A" w:rsidP="00E7673A">
      <w:pPr>
        <w:pStyle w:val="ListParagraph"/>
        <w:numPr>
          <w:ilvl w:val="0"/>
          <w:numId w:val="6"/>
        </w:numPr>
      </w:pPr>
      <w:r w:rsidRPr="00E7673A">
        <w:t>Attending SACC meetings, when necessary,</w:t>
      </w:r>
      <w:r w:rsidR="00B37D83">
        <w:t xml:space="preserve"> to present information on SAQPII</w:t>
      </w:r>
      <w:r w:rsidRPr="00E7673A">
        <w:t xml:space="preserve"> activities, and</w:t>
      </w:r>
    </w:p>
    <w:p w14:paraId="6449B439" w14:textId="77777777" w:rsidR="00E7673A" w:rsidRPr="00E7673A" w:rsidRDefault="00E7673A" w:rsidP="00E7673A">
      <w:pPr>
        <w:pStyle w:val="ListParagraph"/>
        <w:numPr>
          <w:ilvl w:val="0"/>
          <w:numId w:val="6"/>
        </w:numPr>
      </w:pPr>
      <w:r w:rsidRPr="00E7673A">
        <w:t>Attending any meetings of SACC subcommittee chairs as scheduled by the SACC Chair.</w:t>
      </w:r>
    </w:p>
    <w:p w14:paraId="6449B43A" w14:textId="77777777" w:rsidR="00E7673A" w:rsidRPr="00E7673A" w:rsidRDefault="00E7673A" w:rsidP="00E7673A">
      <w:pPr>
        <w:pStyle w:val="Heading4"/>
      </w:pPr>
      <w:r w:rsidRPr="00E7673A">
        <w:t>Section 4.</w:t>
      </w:r>
    </w:p>
    <w:p w14:paraId="6449B43B" w14:textId="77777777" w:rsidR="00E7673A" w:rsidRPr="00E7673A" w:rsidRDefault="00C94ABD" w:rsidP="00E7673A">
      <w:r>
        <w:t>The SAQPII</w:t>
      </w:r>
      <w:r w:rsidR="00E7673A" w:rsidRPr="00E7673A">
        <w:t xml:space="preserve"> Vice-C</w:t>
      </w:r>
      <w:r>
        <w:t>hair will preside when the SAQPII</w:t>
      </w:r>
      <w:r w:rsidR="00E7673A" w:rsidRPr="00E7673A">
        <w:t xml:space="preserve"> Chair is unavai</w:t>
      </w:r>
      <w:r>
        <w:t>lable and generally assist SAQPII</w:t>
      </w:r>
      <w:r w:rsidR="00E7673A" w:rsidRPr="00E7673A">
        <w:t xml:space="preserve"> in carrying out assigned responsibilities.</w:t>
      </w:r>
    </w:p>
    <w:p w14:paraId="6449B43C" w14:textId="77777777" w:rsidR="00E7673A" w:rsidRPr="00E7673A" w:rsidRDefault="00E7673A" w:rsidP="00E7673A">
      <w:pPr>
        <w:pStyle w:val="Heading4"/>
      </w:pPr>
      <w:r w:rsidRPr="00E7673A">
        <w:t>Section 5.</w:t>
      </w:r>
    </w:p>
    <w:p w14:paraId="6449B43D" w14:textId="77777777" w:rsidR="00E7673A" w:rsidRPr="00E7673A" w:rsidRDefault="00C94ABD" w:rsidP="00E7673A">
      <w:r>
        <w:t>The SAQPII</w:t>
      </w:r>
      <w:r w:rsidR="00E7673A" w:rsidRPr="00E7673A">
        <w:t xml:space="preserve"> Recorder shall maintain appropriate r</w:t>
      </w:r>
      <w:r>
        <w:t>ecords of SAQPII</w:t>
      </w:r>
      <w:r w:rsidR="00E7673A" w:rsidRPr="00E7673A">
        <w:t xml:space="preserve"> activities, including Notes of meetings.</w:t>
      </w:r>
    </w:p>
    <w:p w14:paraId="6449B43E" w14:textId="77777777" w:rsidR="00E7673A" w:rsidRPr="00E7673A" w:rsidRDefault="00E7673A" w:rsidP="00E7673A">
      <w:pPr>
        <w:pStyle w:val="Heading4"/>
      </w:pPr>
      <w:r w:rsidRPr="00E7673A">
        <w:t>Section 6.</w:t>
      </w:r>
    </w:p>
    <w:p w14:paraId="6449B43F" w14:textId="77777777" w:rsidR="00E7673A" w:rsidRPr="00E7673A" w:rsidRDefault="00C94ABD" w:rsidP="00E7673A">
      <w:r>
        <w:t>The SACC member from the SAQPII</w:t>
      </w:r>
      <w:r w:rsidR="00E7673A" w:rsidRPr="00E7673A">
        <w:t xml:space="preserve"> Chair’s agenc</w:t>
      </w:r>
      <w:r>
        <w:t>y will be designated as the SACC liaison to SAQPII</w:t>
      </w:r>
      <w:r w:rsidR="00E7673A" w:rsidRPr="00E7673A">
        <w:t>.  It is</w:t>
      </w:r>
      <w:r>
        <w:t xml:space="preserve"> the responsibility of the SAQPII</w:t>
      </w:r>
      <w:r w:rsidR="00E7673A" w:rsidRPr="00E7673A">
        <w:t xml:space="preserve"> Chair to keep the SACC liaison properly informed of the activities of th</w:t>
      </w:r>
      <w:r>
        <w:t>e forum.  In the event the SAQPII</w:t>
      </w:r>
      <w:r w:rsidR="00E7673A" w:rsidRPr="00E7673A">
        <w:t xml:space="preserve"> Chair’s agency is not a member of SACC, the SACC Chair sha</w:t>
      </w:r>
      <w:r>
        <w:t>ll serve as the liaison to SAQPII</w:t>
      </w:r>
      <w:r w:rsidR="00E7673A" w:rsidRPr="00E7673A">
        <w:t>.</w:t>
      </w:r>
    </w:p>
    <w:p w14:paraId="6449B440" w14:textId="77777777" w:rsidR="00E7673A" w:rsidRPr="00E7673A" w:rsidRDefault="00A74FC7" w:rsidP="00E7673A">
      <w:pPr>
        <w:pStyle w:val="Heading3"/>
      </w:pPr>
      <w:r>
        <w:t>ARTICLE IV - SAQPII</w:t>
      </w:r>
      <w:r w:rsidR="00E7673A" w:rsidRPr="00E7673A">
        <w:t xml:space="preserve"> Activities</w:t>
      </w:r>
    </w:p>
    <w:p w14:paraId="6449B441" w14:textId="77777777" w:rsidR="00E7673A" w:rsidRPr="00E7673A" w:rsidRDefault="00E7673A" w:rsidP="00E7673A">
      <w:pPr>
        <w:pStyle w:val="Heading4"/>
      </w:pPr>
      <w:r w:rsidRPr="00E7673A">
        <w:t>Section 1.</w:t>
      </w:r>
    </w:p>
    <w:p w14:paraId="6449B442" w14:textId="77777777" w:rsidR="00E7673A" w:rsidRPr="00E7673A" w:rsidRDefault="00A74FC7" w:rsidP="00E7673A">
      <w:r>
        <w:t>A primary task of SA</w:t>
      </w:r>
      <w:r w:rsidR="00C94ABD">
        <w:t>QPII</w:t>
      </w:r>
      <w:r w:rsidR="00E7673A" w:rsidRPr="00E7673A">
        <w:t xml:space="preserve"> will be staff work as required by the mission and goals.   Init</w:t>
      </w:r>
      <w:r w:rsidR="00C94ABD">
        <w:t>iatives originating at the SAQPII</w:t>
      </w:r>
      <w:r w:rsidR="00E7673A" w:rsidRPr="00E7673A">
        <w:t xml:space="preserve"> subcommittee or workgroup level that will require more than minimal expenditure of staff tim</w:t>
      </w:r>
      <w:r w:rsidR="00C94ABD">
        <w:t>e will be cleared with the SAQPII</w:t>
      </w:r>
      <w:r w:rsidR="00E7673A" w:rsidRPr="00E7673A">
        <w:t xml:space="preserve"> Chair prior to actual commencement of the project.</w:t>
      </w:r>
    </w:p>
    <w:p w14:paraId="6449B443" w14:textId="77777777" w:rsidR="00E7673A" w:rsidRPr="00E7673A" w:rsidRDefault="00E7673A" w:rsidP="00E7673A">
      <w:pPr>
        <w:pStyle w:val="Heading4"/>
      </w:pPr>
      <w:r w:rsidRPr="00E7673A">
        <w:t>Section 2.</w:t>
      </w:r>
    </w:p>
    <w:p w14:paraId="6449B444" w14:textId="3001D666" w:rsidR="00E7673A" w:rsidRPr="000A7A31" w:rsidRDefault="00E7673A" w:rsidP="00E7673A">
      <w:pPr>
        <w:rPr>
          <w:b/>
        </w:rPr>
      </w:pPr>
      <w:r w:rsidRPr="00E7673A">
        <w:t>Each agency present w</w:t>
      </w:r>
      <w:r w:rsidR="00C94ABD">
        <w:t>ill have one vote in SAQPII</w:t>
      </w:r>
      <w:r w:rsidRPr="00E7673A">
        <w:t xml:space="preserve"> matters requiring a vote as posted on the agenda.</w:t>
      </w:r>
      <w:r w:rsidR="00E4795C">
        <w:t xml:space="preserve">  </w:t>
      </w:r>
      <w:r w:rsidR="00E4795C" w:rsidRPr="000A7A31">
        <w:rPr>
          <w:b/>
        </w:rPr>
        <w:t>All meetings must have at least a 51% of SACC agency members present to constitute a quorum.</w:t>
      </w:r>
      <w:r w:rsidR="00654B09">
        <w:rPr>
          <w:b/>
        </w:rPr>
        <w:t xml:space="preserve">  Only members of the SACC are eligible to vote.  </w:t>
      </w:r>
    </w:p>
    <w:p w14:paraId="6449B445" w14:textId="77777777" w:rsidR="00E7673A" w:rsidRPr="00E7673A" w:rsidRDefault="00E7673A" w:rsidP="00E7673A">
      <w:pPr>
        <w:pStyle w:val="Heading3"/>
      </w:pPr>
      <w:r w:rsidRPr="00E7673A">
        <w:t>ARTICLE V - General Provisions</w:t>
      </w:r>
    </w:p>
    <w:p w14:paraId="6449B446" w14:textId="77777777" w:rsidR="00E7673A" w:rsidRPr="00E7673A" w:rsidRDefault="00E7673A" w:rsidP="00E7673A">
      <w:pPr>
        <w:pStyle w:val="Heading4"/>
      </w:pPr>
      <w:r w:rsidRPr="00E7673A">
        <w:t>Section 1.</w:t>
      </w:r>
    </w:p>
    <w:p w14:paraId="6449B447" w14:textId="77777777" w:rsidR="00E7673A" w:rsidRPr="00E7673A" w:rsidRDefault="00E7673A" w:rsidP="00E7673A">
      <w:r w:rsidRPr="00E7673A">
        <w:t>Meeting schedules and agendas will be provided to members at least two weeks prior to regular meetings.</w:t>
      </w:r>
    </w:p>
    <w:p w14:paraId="6449B448" w14:textId="77777777" w:rsidR="00E7673A" w:rsidRPr="00E7673A" w:rsidRDefault="00E7673A" w:rsidP="00E7673A">
      <w:pPr>
        <w:pStyle w:val="Heading4"/>
      </w:pPr>
      <w:r w:rsidRPr="00E7673A">
        <w:t>Section 2.</w:t>
      </w:r>
    </w:p>
    <w:p w14:paraId="6449B449" w14:textId="77777777" w:rsidR="00E7673A" w:rsidRPr="00E7673A" w:rsidRDefault="00E7673A" w:rsidP="00E7673A">
      <w:r w:rsidRPr="00E7673A">
        <w:t>Meeting schedules and agendas will be provided to members as soon as practical, if any emergency or specially-called meeting is required.</w:t>
      </w:r>
    </w:p>
    <w:p w14:paraId="6449B44A" w14:textId="77777777" w:rsidR="00E7673A" w:rsidRPr="00E7673A" w:rsidRDefault="00E7673A" w:rsidP="00E7673A">
      <w:pPr>
        <w:pStyle w:val="Heading4"/>
      </w:pPr>
      <w:r w:rsidRPr="00E7673A">
        <w:t>Section 3.</w:t>
      </w:r>
    </w:p>
    <w:p w14:paraId="6449B44B" w14:textId="77777777" w:rsidR="00E7673A" w:rsidRPr="00E7673A" w:rsidRDefault="00C94ABD" w:rsidP="00E7673A">
      <w:r>
        <w:t>SAQPII</w:t>
      </w:r>
      <w:r w:rsidR="00E7673A" w:rsidRPr="00E7673A">
        <w:t xml:space="preserve"> meetings will be held quarterly, at a minimum.  Special meetings can be held at the call of the Chair, the SACC Chair, or at the request of five or more members when necessary.</w:t>
      </w:r>
    </w:p>
    <w:p w14:paraId="6449B44C" w14:textId="77777777" w:rsidR="00E7673A" w:rsidRPr="00E7673A" w:rsidRDefault="00E7673A" w:rsidP="00E7673A">
      <w:pPr>
        <w:pStyle w:val="Heading4"/>
      </w:pPr>
      <w:r w:rsidRPr="00E7673A">
        <w:t>Section 4.</w:t>
      </w:r>
    </w:p>
    <w:p w14:paraId="6449B44D" w14:textId="77777777" w:rsidR="00E7673A" w:rsidRDefault="00C94ABD" w:rsidP="00E7673A">
      <w:r>
        <w:t>SAQPII</w:t>
      </w:r>
      <w:r w:rsidR="00E7673A" w:rsidRPr="00E7673A">
        <w:t xml:space="preserve"> recommendations will be submitted to SACC for consideration and review, prior to any other formal action.</w:t>
      </w:r>
    </w:p>
    <w:p w14:paraId="6449B44E" w14:textId="77777777" w:rsidR="00E7673A" w:rsidRPr="00E7673A" w:rsidRDefault="00E7673A" w:rsidP="00E7673A">
      <w:pPr>
        <w:pStyle w:val="Heading4"/>
      </w:pPr>
      <w:r w:rsidRPr="00E7673A">
        <w:t>Section 5.</w:t>
      </w:r>
    </w:p>
    <w:p w14:paraId="6449B44F" w14:textId="77777777" w:rsidR="00E7673A" w:rsidRPr="00E7673A" w:rsidRDefault="00C94ABD" w:rsidP="00E7673A">
      <w:r>
        <w:t>SAQPII</w:t>
      </w:r>
      <w:r w:rsidR="00E7673A" w:rsidRPr="00E7673A">
        <w:t xml:space="preserve"> bylaws and amendments will be</w:t>
      </w:r>
      <w:r w:rsidR="004A7488">
        <w:t xml:space="preserve"> submitted to SACC for approval.</w:t>
      </w:r>
    </w:p>
    <w:sectPr w:rsidR="00E7673A" w:rsidRPr="00E7673A" w:rsidSect="00EF364D">
      <w:footerReference w:type="default" r:id="rId10"/>
      <w:pgSz w:w="12240" w:h="15840" w:code="1"/>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B452" w14:textId="77777777" w:rsidR="00345780" w:rsidRDefault="00345780" w:rsidP="00E7673A">
      <w:r>
        <w:separator/>
      </w:r>
    </w:p>
  </w:endnote>
  <w:endnote w:type="continuationSeparator" w:id="0">
    <w:p w14:paraId="6449B453" w14:textId="77777777" w:rsidR="00345780" w:rsidRDefault="00345780" w:rsidP="00E7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B454" w14:textId="17BBD293" w:rsidR="00345780" w:rsidRPr="0034577A" w:rsidRDefault="00345780" w:rsidP="00E7673A">
    <w:pPr>
      <w:pStyle w:val="Footer"/>
      <w:rPr>
        <w:bdr w:val="single" w:sz="4" w:space="0" w:color="FFFFFF" w:themeColor="background1"/>
      </w:rPr>
    </w:pPr>
    <w:r w:rsidRPr="0034577A">
      <w:rPr>
        <w:bdr w:val="single" w:sz="4" w:space="0" w:color="FFFFFF" w:themeColor="background1"/>
      </w:rPr>
      <w:t xml:space="preserve">State Agency Coordinating Committee | </w:t>
    </w:r>
    <w:r w:rsidRPr="0034577A">
      <w:rPr>
        <w:b/>
        <w:color w:val="2F5496" w:themeColor="accent5" w:themeShade="BF"/>
        <w:bdr w:val="single" w:sz="4" w:space="0" w:color="FFFFFF" w:themeColor="background1"/>
      </w:rPr>
      <w:t xml:space="preserve">State Agency </w:t>
    </w:r>
    <w:r w:rsidR="00B37D83">
      <w:rPr>
        <w:b/>
        <w:color w:val="2F5496" w:themeColor="accent5" w:themeShade="BF"/>
        <w:bdr w:val="single" w:sz="4" w:space="0" w:color="FFFFFF" w:themeColor="background1"/>
      </w:rPr>
      <w:t>Quality, Process Improvement and Innovation (SAQPII</w:t>
    </w:r>
    <w:r w:rsidR="005A7F48" w:rsidRPr="0034577A">
      <w:rPr>
        <w:b/>
        <w:color w:val="2F5496" w:themeColor="accent5" w:themeShade="BF"/>
        <w:bdr w:val="single" w:sz="4" w:space="0" w:color="FFFFFF" w:themeColor="background1"/>
      </w:rPr>
      <w:t>) Subcommittee</w:t>
    </w:r>
    <w:r w:rsidRPr="0034577A">
      <w:rPr>
        <w:color w:val="2F5496" w:themeColor="accent5" w:themeShade="BF"/>
        <w:bdr w:val="single" w:sz="4" w:space="0" w:color="FFFFFF" w:themeColor="background1"/>
      </w:rPr>
      <w:t xml:space="preserve"> </w:t>
    </w:r>
    <w:r w:rsidRPr="0034577A">
      <w:rPr>
        <w:bdr w:val="single" w:sz="4" w:space="0" w:color="FFFFFF" w:themeColor="background1"/>
      </w:rPr>
      <w:t xml:space="preserve">| </w:t>
    </w:r>
    <w:r w:rsidR="00E7673A">
      <w:rPr>
        <w:b/>
        <w:color w:val="2F5496" w:themeColor="accent5" w:themeShade="BF"/>
        <w:bdr w:val="single" w:sz="4" w:space="0" w:color="FFFFFF" w:themeColor="background1"/>
      </w:rPr>
      <w:t>Bylaws</w:t>
    </w:r>
    <w:r w:rsidR="00E7673A">
      <w:rPr>
        <w:b/>
        <w:color w:val="2F5496" w:themeColor="accent5" w:themeShade="BF"/>
        <w:bdr w:val="single" w:sz="4" w:space="0" w:color="FFFFFF" w:themeColor="background1"/>
      </w:rPr>
      <w:tab/>
    </w:r>
    <w:r w:rsidR="005A7F48" w:rsidRPr="0034577A">
      <w:rPr>
        <w:bdr w:val="single" w:sz="4" w:space="0" w:color="FFFFFF" w:themeColor="background1"/>
      </w:rPr>
      <w:tab/>
    </w:r>
    <w:r w:rsidR="005A7F48" w:rsidRPr="0034577A">
      <w:rPr>
        <w:bdr w:val="single" w:sz="4" w:space="0" w:color="FFFFFF" w:themeColor="background1"/>
      </w:rPr>
      <w:fldChar w:fldCharType="begin"/>
    </w:r>
    <w:r w:rsidR="005A7F48" w:rsidRPr="0034577A">
      <w:rPr>
        <w:bdr w:val="single" w:sz="4" w:space="0" w:color="FFFFFF" w:themeColor="background1"/>
      </w:rPr>
      <w:instrText xml:space="preserve"> PAGE   \* MERGEFORMAT </w:instrText>
    </w:r>
    <w:r w:rsidR="005A7F48" w:rsidRPr="0034577A">
      <w:rPr>
        <w:bdr w:val="single" w:sz="4" w:space="0" w:color="FFFFFF" w:themeColor="background1"/>
      </w:rPr>
      <w:fldChar w:fldCharType="separate"/>
    </w:r>
    <w:r w:rsidR="0021227E">
      <w:rPr>
        <w:noProof/>
        <w:bdr w:val="single" w:sz="4" w:space="0" w:color="FFFFFF" w:themeColor="background1"/>
      </w:rPr>
      <w:t>2</w:t>
    </w:r>
    <w:r w:rsidR="005A7F48" w:rsidRPr="0034577A">
      <w:rPr>
        <w:bdr w:val="single" w:sz="4" w:space="0" w:color="FFFFFF" w:themeColor="background1"/>
      </w:rPr>
      <w:fldChar w:fldCharType="end"/>
    </w:r>
    <w:r w:rsidR="005A7F48" w:rsidRPr="0034577A">
      <w:rPr>
        <w:bdr w:val="single" w:sz="4" w:space="0" w:color="FFFFFF" w:themeColor="background1"/>
      </w:rPr>
      <w:t xml:space="preserve"> of </w:t>
    </w:r>
    <w:r w:rsidR="005A7F48" w:rsidRPr="0034577A">
      <w:rPr>
        <w:bdr w:val="single" w:sz="4" w:space="0" w:color="FFFFFF" w:themeColor="background1"/>
      </w:rPr>
      <w:fldChar w:fldCharType="begin"/>
    </w:r>
    <w:r w:rsidR="005A7F48" w:rsidRPr="0034577A">
      <w:rPr>
        <w:bdr w:val="single" w:sz="4" w:space="0" w:color="FFFFFF" w:themeColor="background1"/>
      </w:rPr>
      <w:instrText xml:space="preserve"> NUMPAGES   \* MERGEFORMAT </w:instrText>
    </w:r>
    <w:r w:rsidR="005A7F48" w:rsidRPr="0034577A">
      <w:rPr>
        <w:bdr w:val="single" w:sz="4" w:space="0" w:color="FFFFFF" w:themeColor="background1"/>
      </w:rPr>
      <w:fldChar w:fldCharType="separate"/>
    </w:r>
    <w:r w:rsidR="0021227E">
      <w:rPr>
        <w:noProof/>
        <w:bdr w:val="single" w:sz="4" w:space="0" w:color="FFFFFF" w:themeColor="background1"/>
      </w:rPr>
      <w:t>2</w:t>
    </w:r>
    <w:r w:rsidR="005A7F48" w:rsidRPr="0034577A">
      <w:rPr>
        <w:bdr w:val="single" w:sz="4" w:space="0" w:color="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B450" w14:textId="77777777" w:rsidR="00345780" w:rsidRDefault="00345780" w:rsidP="00E7673A">
      <w:r>
        <w:separator/>
      </w:r>
    </w:p>
  </w:footnote>
  <w:footnote w:type="continuationSeparator" w:id="0">
    <w:p w14:paraId="6449B451" w14:textId="77777777" w:rsidR="00345780" w:rsidRDefault="00345780" w:rsidP="00E7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CC1"/>
    <w:multiLevelType w:val="hybridMultilevel"/>
    <w:tmpl w:val="BB36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679C"/>
    <w:multiLevelType w:val="multilevel"/>
    <w:tmpl w:val="4858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60680"/>
    <w:multiLevelType w:val="hybridMultilevel"/>
    <w:tmpl w:val="F58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D0935"/>
    <w:multiLevelType w:val="hybridMultilevel"/>
    <w:tmpl w:val="3EF2148A"/>
    <w:lvl w:ilvl="0" w:tplc="FFF64C8C">
      <w:start w:val="1"/>
      <w:numFmt w:val="bullet"/>
      <w:pStyle w:val="ListParagraph"/>
      <w:lvlText w:val=""/>
      <w:lvlJc w:val="left"/>
      <w:pPr>
        <w:ind w:left="720" w:hanging="360"/>
      </w:pPr>
      <w:rPr>
        <w:rFonts w:ascii="Symbol" w:hAnsi="Symbol"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E0CE5"/>
    <w:multiLevelType w:val="multilevel"/>
    <w:tmpl w:val="D33E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MzYxtDSxMDcwNDFS0lEKTi0uzszPAykwrgUA7BBGqSwAAAA="/>
  </w:docVars>
  <w:rsids>
    <w:rsidRoot w:val="000612C8"/>
    <w:rsid w:val="000612C8"/>
    <w:rsid w:val="000A7A31"/>
    <w:rsid w:val="000D4C40"/>
    <w:rsid w:val="001E441A"/>
    <w:rsid w:val="0021227E"/>
    <w:rsid w:val="002F4F09"/>
    <w:rsid w:val="0034577A"/>
    <w:rsid w:val="00345780"/>
    <w:rsid w:val="00363256"/>
    <w:rsid w:val="003B6B5B"/>
    <w:rsid w:val="00404C65"/>
    <w:rsid w:val="004561DF"/>
    <w:rsid w:val="004A7488"/>
    <w:rsid w:val="005A7F48"/>
    <w:rsid w:val="00654B09"/>
    <w:rsid w:val="00673C24"/>
    <w:rsid w:val="006A6622"/>
    <w:rsid w:val="007F0878"/>
    <w:rsid w:val="008609CE"/>
    <w:rsid w:val="008E368E"/>
    <w:rsid w:val="00A74FC7"/>
    <w:rsid w:val="00B37D83"/>
    <w:rsid w:val="00C73EE1"/>
    <w:rsid w:val="00C94ABD"/>
    <w:rsid w:val="00E145F6"/>
    <w:rsid w:val="00E4795C"/>
    <w:rsid w:val="00E717E8"/>
    <w:rsid w:val="00E7673A"/>
    <w:rsid w:val="00E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49B41A"/>
  <w15:docId w15:val="{16FEB299-CD7A-4BA9-AA6A-FE87EFC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3A"/>
    <w:pPr>
      <w:spacing w:after="200"/>
      <w:ind w:left="360"/>
    </w:pPr>
    <w:rPr>
      <w:rFonts w:asciiTheme="minorHAnsi" w:hAnsiTheme="minorHAnsi"/>
      <w:sz w:val="22"/>
      <w:szCs w:val="24"/>
    </w:rPr>
  </w:style>
  <w:style w:type="paragraph" w:styleId="Heading1">
    <w:name w:val="heading 1"/>
    <w:next w:val="Normal"/>
    <w:link w:val="Heading1Char"/>
    <w:uiPriority w:val="9"/>
    <w:qFormat/>
    <w:rsid w:val="002F4F09"/>
    <w:pPr>
      <w:keepNext/>
      <w:spacing w:after="200"/>
      <w:outlineLvl w:val="0"/>
    </w:pPr>
    <w:rPr>
      <w:rFonts w:ascii="Cambria" w:eastAsiaTheme="majorEastAsia" w:hAnsi="Cambria" w:cstheme="majorBidi"/>
      <w:b/>
      <w:bCs/>
      <w:color w:val="2F5496" w:themeColor="accent5" w:themeShade="BF"/>
      <w:kern w:val="32"/>
      <w:sz w:val="32"/>
      <w:szCs w:val="32"/>
    </w:rPr>
  </w:style>
  <w:style w:type="paragraph" w:styleId="Heading2">
    <w:name w:val="heading 2"/>
    <w:next w:val="Normal"/>
    <w:link w:val="Heading2Char"/>
    <w:qFormat/>
    <w:rsid w:val="00E7673A"/>
    <w:pPr>
      <w:keepNext/>
      <w:spacing w:after="100"/>
      <w:outlineLvl w:val="1"/>
    </w:pPr>
    <w:rPr>
      <w:rFonts w:ascii="Cambria" w:eastAsiaTheme="majorEastAsia" w:hAnsi="Cambria" w:cstheme="majorBidi"/>
      <w:b/>
      <w:bCs/>
      <w:iCs/>
      <w:color w:val="000000" w:themeColor="text1"/>
      <w:sz w:val="28"/>
      <w:szCs w:val="28"/>
      <w14:textFill>
        <w14:solidFill>
          <w14:schemeClr w14:val="tx1">
            <w14:lumMod w14:val="75000"/>
            <w14:lumOff w14:val="25000"/>
            <w14:lumMod w14:val="75000"/>
            <w14:lumOff w14:val="25000"/>
          </w14:schemeClr>
        </w14:solidFill>
      </w14:textFill>
    </w:rPr>
  </w:style>
  <w:style w:type="paragraph" w:styleId="Heading3">
    <w:name w:val="heading 3"/>
    <w:next w:val="Normal"/>
    <w:link w:val="Heading3Char"/>
    <w:uiPriority w:val="9"/>
    <w:qFormat/>
    <w:rsid w:val="00E7673A"/>
    <w:pPr>
      <w:keepNext/>
      <w:spacing w:after="100"/>
      <w:outlineLvl w:val="2"/>
    </w:pPr>
    <w:rPr>
      <w:rFonts w:ascii="Cambria" w:eastAsiaTheme="majorEastAsia" w:hAnsi="Cambria" w:cstheme="majorBidi"/>
      <w:b/>
      <w:bCs/>
      <w:color w:val="2F5496" w:themeColor="accent5" w:themeShade="BF"/>
      <w:sz w:val="24"/>
      <w:szCs w:val="26"/>
    </w:rPr>
  </w:style>
  <w:style w:type="paragraph" w:styleId="Heading4">
    <w:name w:val="heading 4"/>
    <w:basedOn w:val="Heading3"/>
    <w:next w:val="Normal"/>
    <w:link w:val="Heading4Char"/>
    <w:qFormat/>
    <w:rsid w:val="00E7673A"/>
    <w:pPr>
      <w:spacing w:after="0"/>
      <w:ind w:left="360"/>
      <w:outlineLvl w:val="3"/>
    </w:pPr>
    <w:rPr>
      <w:color w:val="404040" w:themeColor="text1" w:themeTint="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09"/>
    <w:rPr>
      <w:rFonts w:ascii="Cambria" w:eastAsiaTheme="majorEastAsia" w:hAnsi="Cambria" w:cstheme="majorBidi"/>
      <w:b/>
      <w:bCs/>
      <w:color w:val="2F5496" w:themeColor="accent5" w:themeShade="BF"/>
      <w:kern w:val="32"/>
      <w:sz w:val="32"/>
      <w:szCs w:val="32"/>
    </w:rPr>
  </w:style>
  <w:style w:type="paragraph" w:styleId="Subtitle">
    <w:name w:val="Subtitle"/>
    <w:basedOn w:val="Normal"/>
    <w:next w:val="Normal"/>
    <w:link w:val="SubtitleChar"/>
    <w:qFormat/>
    <w:rsid w:val="008E368E"/>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8E368E"/>
    <w:rPr>
      <w:rFonts w:asciiTheme="majorHAnsi" w:eastAsiaTheme="majorEastAsia" w:hAnsiTheme="majorHAnsi" w:cstheme="majorBidi"/>
      <w:sz w:val="24"/>
      <w:szCs w:val="24"/>
    </w:rPr>
  </w:style>
  <w:style w:type="paragraph" w:styleId="Title">
    <w:name w:val="Title"/>
    <w:next w:val="Normal"/>
    <w:link w:val="TitleChar"/>
    <w:qFormat/>
    <w:rsid w:val="002F4F09"/>
    <w:pPr>
      <w:pBdr>
        <w:bottom w:val="single" w:sz="4" w:space="1" w:color="auto"/>
      </w:pBdr>
      <w:spacing w:after="300"/>
      <w:outlineLvl w:val="0"/>
    </w:pPr>
    <w:rPr>
      <w:rFonts w:ascii="Cambria" w:eastAsiaTheme="majorEastAsia" w:hAnsi="Cambria" w:cstheme="majorBidi"/>
      <w:b/>
      <w:bCs/>
      <w:color w:val="2F5496" w:themeColor="accent5" w:themeShade="BF"/>
      <w:kern w:val="28"/>
      <w:sz w:val="36"/>
      <w:szCs w:val="32"/>
    </w:rPr>
  </w:style>
  <w:style w:type="character" w:customStyle="1" w:styleId="TitleChar">
    <w:name w:val="Title Char"/>
    <w:basedOn w:val="DefaultParagraphFont"/>
    <w:link w:val="Title"/>
    <w:rsid w:val="002F4F09"/>
    <w:rPr>
      <w:rFonts w:ascii="Cambria" w:eastAsiaTheme="majorEastAsia" w:hAnsi="Cambria" w:cstheme="majorBidi"/>
      <w:b/>
      <w:bCs/>
      <w:color w:val="2F5496" w:themeColor="accent5" w:themeShade="BF"/>
      <w:kern w:val="28"/>
      <w:sz w:val="36"/>
      <w:szCs w:val="32"/>
    </w:rPr>
  </w:style>
  <w:style w:type="paragraph" w:styleId="NoSpacing">
    <w:name w:val="No Spacing"/>
    <w:uiPriority w:val="1"/>
    <w:qFormat/>
    <w:rsid w:val="002F4F09"/>
    <w:rPr>
      <w:rFonts w:asciiTheme="minorHAnsi" w:hAnsiTheme="minorHAnsi"/>
      <w:sz w:val="22"/>
      <w:szCs w:val="24"/>
    </w:rPr>
  </w:style>
  <w:style w:type="character" w:styleId="SubtleEmphasis">
    <w:name w:val="Subtle Emphasis"/>
    <w:basedOn w:val="DefaultParagraphFont"/>
    <w:uiPriority w:val="19"/>
    <w:rsid w:val="008E368E"/>
    <w:rPr>
      <w:i/>
      <w:iCs/>
      <w:color w:val="404040" w:themeColor="text1" w:themeTint="BF"/>
    </w:rPr>
  </w:style>
  <w:style w:type="paragraph" w:styleId="ListParagraph">
    <w:name w:val="List Paragraph"/>
    <w:basedOn w:val="Normal"/>
    <w:uiPriority w:val="34"/>
    <w:qFormat/>
    <w:rsid w:val="002F4F09"/>
    <w:pPr>
      <w:numPr>
        <w:numId w:val="2"/>
      </w:numPr>
      <w:contextualSpacing/>
    </w:pPr>
  </w:style>
  <w:style w:type="character" w:customStyle="1" w:styleId="Heading2Char">
    <w:name w:val="Heading 2 Char"/>
    <w:basedOn w:val="DefaultParagraphFont"/>
    <w:link w:val="Heading2"/>
    <w:rsid w:val="00E7673A"/>
    <w:rPr>
      <w:rFonts w:ascii="Cambria" w:eastAsiaTheme="majorEastAsia" w:hAnsi="Cambria" w:cstheme="majorBidi"/>
      <w:b/>
      <w:bCs/>
      <w:iCs/>
      <w:color w:val="000000" w:themeColor="text1"/>
      <w:sz w:val="28"/>
      <w:szCs w:val="28"/>
      <w14:textFill>
        <w14:solidFill>
          <w14:schemeClr w14:val="tx1">
            <w14:lumMod w14:val="75000"/>
            <w14:lumOff w14:val="25000"/>
            <w14:lumMod w14:val="75000"/>
            <w14:lumOff w14:val="25000"/>
          </w14:schemeClr>
        </w14:solidFill>
      </w14:textFill>
    </w:rPr>
  </w:style>
  <w:style w:type="character" w:customStyle="1" w:styleId="Heading3Char">
    <w:name w:val="Heading 3 Char"/>
    <w:basedOn w:val="DefaultParagraphFont"/>
    <w:link w:val="Heading3"/>
    <w:uiPriority w:val="9"/>
    <w:rsid w:val="00E7673A"/>
    <w:rPr>
      <w:rFonts w:ascii="Cambria" w:eastAsiaTheme="majorEastAsia" w:hAnsi="Cambria" w:cstheme="majorBidi"/>
      <w:b/>
      <w:bCs/>
      <w:color w:val="2F5496" w:themeColor="accent5" w:themeShade="BF"/>
      <w:sz w:val="24"/>
      <w:szCs w:val="26"/>
    </w:rPr>
  </w:style>
  <w:style w:type="character" w:customStyle="1" w:styleId="Heading4Char">
    <w:name w:val="Heading 4 Char"/>
    <w:basedOn w:val="DefaultParagraphFont"/>
    <w:link w:val="Heading4"/>
    <w:rsid w:val="00E7673A"/>
    <w:rPr>
      <w:rFonts w:ascii="Cambria" w:eastAsiaTheme="majorEastAsia" w:hAnsi="Cambria" w:cstheme="majorBidi"/>
      <w:b/>
      <w:bCs/>
      <w:color w:val="404040" w:themeColor="text1" w:themeTint="BF"/>
      <w:sz w:val="22"/>
      <w:szCs w:val="26"/>
    </w:rPr>
  </w:style>
  <w:style w:type="character" w:styleId="Hyperlink">
    <w:name w:val="Hyperlink"/>
    <w:basedOn w:val="DefaultParagraphFont"/>
    <w:uiPriority w:val="99"/>
    <w:unhideWhenUsed/>
    <w:qFormat/>
    <w:rsid w:val="00C73EE1"/>
    <w:rPr>
      <w:color w:val="auto"/>
      <w:u w:val="single"/>
    </w:rPr>
  </w:style>
  <w:style w:type="paragraph" w:styleId="Footer">
    <w:name w:val="footer"/>
    <w:basedOn w:val="Normal"/>
    <w:link w:val="FooterChar"/>
    <w:qFormat/>
    <w:rsid w:val="00C73EE1"/>
    <w:pPr>
      <w:tabs>
        <w:tab w:val="center" w:pos="4680"/>
        <w:tab w:val="right" w:pos="9360"/>
      </w:tabs>
    </w:pPr>
    <w:rPr>
      <w:sz w:val="20"/>
    </w:rPr>
  </w:style>
  <w:style w:type="character" w:customStyle="1" w:styleId="FooterChar">
    <w:name w:val="Footer Char"/>
    <w:basedOn w:val="DefaultParagraphFont"/>
    <w:link w:val="Footer"/>
    <w:rsid w:val="00C73EE1"/>
    <w:rPr>
      <w:rFonts w:asciiTheme="minorHAnsi" w:hAnsiTheme="minorHAnsi"/>
      <w:szCs w:val="24"/>
    </w:rPr>
  </w:style>
  <w:style w:type="character" w:styleId="Strong">
    <w:name w:val="Strong"/>
    <w:basedOn w:val="DefaultParagraphFont"/>
    <w:uiPriority w:val="22"/>
    <w:qFormat/>
    <w:rsid w:val="000612C8"/>
    <w:rPr>
      <w:b/>
      <w:bCs/>
    </w:rPr>
  </w:style>
  <w:style w:type="character" w:customStyle="1" w:styleId="baec5a81-e4d6-4674-97f3-e9220f0136c1">
    <w:name w:val="baec5a81-e4d6-4674-97f3-e9220f0136c1"/>
    <w:basedOn w:val="DefaultParagraphFont"/>
    <w:rsid w:val="000612C8"/>
  </w:style>
  <w:style w:type="paragraph" w:styleId="NormalWeb">
    <w:name w:val="Normal (Web)"/>
    <w:basedOn w:val="Normal"/>
    <w:uiPriority w:val="99"/>
    <w:unhideWhenUsed/>
    <w:rsid w:val="000612C8"/>
    <w:pPr>
      <w:spacing w:before="100" w:beforeAutospacing="1" w:after="100" w:afterAutospacing="1"/>
    </w:pPr>
    <w:rPr>
      <w:rFonts w:ascii="Times New Roman" w:hAnsi="Times New Roman"/>
      <w:sz w:val="24"/>
    </w:rPr>
  </w:style>
  <w:style w:type="character" w:customStyle="1" w:styleId="style1">
    <w:name w:val="style1"/>
    <w:basedOn w:val="DefaultParagraphFont"/>
    <w:rsid w:val="000612C8"/>
  </w:style>
  <w:style w:type="paragraph" w:styleId="Header">
    <w:name w:val="header"/>
    <w:basedOn w:val="Normal"/>
    <w:link w:val="HeaderChar"/>
    <w:rsid w:val="00345780"/>
    <w:pPr>
      <w:tabs>
        <w:tab w:val="center" w:pos="4680"/>
        <w:tab w:val="right" w:pos="9360"/>
      </w:tabs>
    </w:pPr>
  </w:style>
  <w:style w:type="character" w:customStyle="1" w:styleId="HeaderChar">
    <w:name w:val="Header Char"/>
    <w:basedOn w:val="DefaultParagraphFont"/>
    <w:link w:val="Header"/>
    <w:rsid w:val="00345780"/>
    <w:rPr>
      <w:rFonts w:asciiTheme="minorHAnsi" w:hAnsiTheme="minorHAnsi"/>
      <w:sz w:val="22"/>
      <w:szCs w:val="24"/>
    </w:rPr>
  </w:style>
  <w:style w:type="character" w:customStyle="1" w:styleId="bylawbody">
    <w:name w:val="bylawbody"/>
    <w:basedOn w:val="DefaultParagraphFont"/>
    <w:rsid w:val="00E7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05890">
      <w:bodyDiv w:val="1"/>
      <w:marLeft w:val="0"/>
      <w:marRight w:val="0"/>
      <w:marTop w:val="0"/>
      <w:marBottom w:val="0"/>
      <w:divBdr>
        <w:top w:val="none" w:sz="0" w:space="0" w:color="auto"/>
        <w:left w:val="none" w:sz="0" w:space="0" w:color="auto"/>
        <w:bottom w:val="none" w:sz="0" w:space="0" w:color="auto"/>
        <w:right w:val="none" w:sz="0" w:space="0" w:color="auto"/>
      </w:divBdr>
      <w:divsChild>
        <w:div w:id="1647662200">
          <w:marLeft w:val="0"/>
          <w:marRight w:val="0"/>
          <w:marTop w:val="0"/>
          <w:marBottom w:val="0"/>
          <w:divBdr>
            <w:top w:val="none" w:sz="0" w:space="0" w:color="auto"/>
            <w:left w:val="none" w:sz="0" w:space="0" w:color="auto"/>
            <w:bottom w:val="none" w:sz="0" w:space="0" w:color="auto"/>
            <w:right w:val="none" w:sz="0" w:space="0" w:color="auto"/>
          </w:divBdr>
          <w:divsChild>
            <w:div w:id="834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047">
      <w:bodyDiv w:val="1"/>
      <w:marLeft w:val="0"/>
      <w:marRight w:val="0"/>
      <w:marTop w:val="0"/>
      <w:marBottom w:val="0"/>
      <w:divBdr>
        <w:top w:val="none" w:sz="0" w:space="0" w:color="auto"/>
        <w:left w:val="none" w:sz="0" w:space="0" w:color="auto"/>
        <w:bottom w:val="none" w:sz="0" w:space="0" w:color="auto"/>
        <w:right w:val="none" w:sz="0" w:space="0" w:color="auto"/>
      </w:divBdr>
      <w:divsChild>
        <w:div w:id="8122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wotny\AppData\Roaming\Microsoft\Templates\Normal-ll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archSummary xmlns="1624d5a5-934e-431c-bdeb-2205adc15921">Third-party content published by the State Agency Coordinating Committee / State Agency Internal Audit Forum Subcommittee: Bylaws, 2010</SearchSummary>
    <TSLACType xmlns="1624d5a5-934e-431c-bdeb-2205adc15921">Reference materials</TSLACType>
    <DocumentSize xmlns="1624d5a5-934e-431c-bdeb-2205adc15921">32.064436708</DocumentSize>
    <RedirectURL xmlns="1624d5a5-934e-431c-bdeb-2205adc15921">/portal/internal/resources/DocumentLibrary/SACC-SAQPII Bylaws Revised 2019.docx</RedirectURL>
    <DocumentCategory xmlns="1624d5a5-934e-431c-bdeb-2205adc15921">Event Materials</DocumentCategory>
    <DocumentSummary xmlns="1624d5a5-934e-431c-bdeb-2205adc15921">Third-party content published by the State Agency Coordinating Committee / State Agency Internal Audit Forum Subcommittee: Bylaws, 2010</DocumentSummary>
    <SearchKeywords xmlns="1624d5a5-934e-431c-bdeb-2205adc15921">sacc-saiaf, sacc, saiaf, internal audit subcommittee bylaws</SearchKeywords>
    <TSLACSubject xmlns="1624d5a5-934e-431c-bdeb-2205adc15921">
      <Value>Auditing Budget</Value>
      <Value>Executive Departments</Value>
      <Value>Government Information</Value>
      <Value>State Governments</Value>
    </TSLACSubject>
    <DocumentPublishDate xmlns="1624d5a5-934e-431c-bdeb-2205adc15921">2010-06-18T05:00:00+00:00</DocumentPublishDate>
    <DocumentExtension xmlns="1624d5a5-934e-431c-bdeb-2205adc15921">docx</DocumentExtension>
    <DIRDepartment xmlns="1624d5a5-934e-431c-bdeb-2205adc15921">General</DIRDepartment>
    <TaxCatchAll xmlns="1624d5a5-934e-431c-bdeb-2205adc15921"/>
    <TaxKeywordTaxHTField xmlns="1624d5a5-934e-431c-bdeb-2205adc1592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D4B75-9A4E-4844-9B4B-52EA4F73D3BD}"/>
</file>

<file path=customXml/itemProps2.xml><?xml version="1.0" encoding="utf-8"?>
<ds:datastoreItem xmlns:ds="http://schemas.openxmlformats.org/officeDocument/2006/customXml" ds:itemID="{D2DB7A14-2014-4559-B15E-EA0ECE4008F8}">
  <ds:schemaRefs>
    <ds:schemaRef ds:uri="http://schemas.microsoft.com/office/infopath/2007/PartnerControls"/>
    <ds:schemaRef ds:uri="http://schemas.microsoft.com/office/2006/metadata/properties"/>
    <ds:schemaRef ds:uri="http://purl.org/dc/terms/"/>
    <ds:schemaRef ds:uri="http://www.w3.org/XML/1998/namespace"/>
    <ds:schemaRef ds:uri="1624d5a5-934e-431c-bdeb-2205adc15921"/>
    <ds:schemaRef ds:uri="http://schemas.microsoft.com/office/2006/documentManagement/types"/>
    <ds:schemaRef ds:uri="http://schemas.openxmlformats.org/package/2006/metadata/core-properties"/>
    <ds:schemaRef ds:uri="http://purl.org/dc/elements/1.1/"/>
    <ds:schemaRef ds:uri="http://purl.org/dc/dcmitype/"/>
  </ds:schemaRefs>
</ds:datastoreItem>
</file>

<file path=customXml/itemProps3.xml><?xml version="1.0" encoding="utf-8"?>
<ds:datastoreItem xmlns:ds="http://schemas.openxmlformats.org/officeDocument/2006/customXml" ds:itemID="{75B4ED71-BD95-434E-97EE-BBDCC351A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Normal-lln1</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SACC-SAQPII Bylaws</vt:lpstr>
    </vt:vector>
  </TitlesOfParts>
  <Company>Texas Dept. of Information Resources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SACC-SAQPII Bylaws Revised 2019</dc:title>
  <dc:creator>Lisa Nowotny</dc:creator>
  <cp:lastModifiedBy>Green, Carrie</cp:lastModifiedBy>
  <cp:revision>2</cp:revision>
  <dcterms:created xsi:type="dcterms:W3CDTF">2019-05-15T12:56:00Z</dcterms:created>
  <dcterms:modified xsi:type="dcterms:W3CDTF">2019-05-15T12:56:00Z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2;4e7f0d7b-af58-4d14-a711-25a4e8942f2a,2;4e7f0d7b-af58-4d14-a711-25a4e8942f2a,2;4e7f0d7b-af58-4d14-a711-25a4e8942f2a,2;4e7f0d7b-af58-4d14-a711-25a4e8942f2a,2;4e7f0d7b-af58-4d14-a711-25a4e8942f2a,2;4e7f0d7b-af58-4d14-a711-25a4e8942f2a,2;</vt:lpwstr>
  </property>
  <property fmtid="{D5CDD505-2E9C-101B-9397-08002B2CF9AE}" pid="3" name="ContentTypeId">
    <vt:lpwstr>0x010100BC37E061906B8D41B78466604C53C4AE</vt:lpwstr>
  </property>
  <property fmtid="{D5CDD505-2E9C-101B-9397-08002B2CF9AE}" pid="4" name="TaxKeyword">
    <vt:lpwstr/>
  </property>
</Properties>
</file>