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3A8F" w14:textId="77777777" w:rsidR="00B31AAC" w:rsidRDefault="00B31AAC" w:rsidP="00B31A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TEXAS DEPARTMENT OF INFORMATION RESOURCES </w:t>
      </w:r>
    </w:p>
    <w:p w14:paraId="1735457D" w14:textId="55384AE2" w:rsidR="00B31AAC" w:rsidRPr="00043D0B" w:rsidRDefault="00B31AAC" w:rsidP="00B31AAC">
      <w:pPr>
        <w:pStyle w:val="Defaul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43D0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Senate Bill </w:t>
      </w:r>
      <w:r w:rsidR="00D738E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533</w:t>
      </w:r>
      <w:r w:rsidRPr="00043D0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Quick Reference</w:t>
      </w:r>
      <w:r w:rsidR="00043D0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Guide</w:t>
      </w:r>
      <w:r w:rsidRPr="00043D0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14:paraId="28A0326E" w14:textId="77777777" w:rsidR="00982FA6" w:rsidRDefault="00982FA6" w:rsidP="00982FA6">
      <w:pPr>
        <w:pStyle w:val="Heading1"/>
      </w:pPr>
      <w:r>
        <w:t>Background</w:t>
      </w:r>
    </w:p>
    <w:p w14:paraId="24BB70D1" w14:textId="39D80F6C" w:rsidR="005B3730" w:rsidRPr="00E61EA1" w:rsidRDefault="00D738EF" w:rsidP="00E61EA1">
      <w:pPr>
        <w:pStyle w:val="Defaul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Senate Bill 533 of the 85th Legislative session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(SB 533) </w:t>
      </w:r>
      <w:r>
        <w:rPr>
          <w:rFonts w:ascii="Calibri" w:hAnsi="Calibri" w:cs="Calibri"/>
          <w:sz w:val="22"/>
          <w:szCs w:val="22"/>
        </w:rPr>
        <w:t>requires</w:t>
      </w:r>
      <w:r w:rsidR="00B31AAC" w:rsidRPr="00A4109F">
        <w:rPr>
          <w:rFonts w:ascii="Calibri" w:hAnsi="Calibri" w:cs="Calibri"/>
          <w:sz w:val="22"/>
          <w:szCs w:val="22"/>
        </w:rPr>
        <w:t xml:space="preserve"> state agencies to submit Statements of Work (SOW) </w:t>
      </w:r>
      <w:r w:rsidR="00755AC8" w:rsidRPr="00A4109F">
        <w:rPr>
          <w:rFonts w:ascii="Calibri" w:hAnsi="Calibri" w:cs="Calibri"/>
          <w:sz w:val="22"/>
          <w:szCs w:val="22"/>
        </w:rPr>
        <w:t xml:space="preserve">for certain </w:t>
      </w:r>
      <w:r w:rsidR="005B3730" w:rsidRPr="00A4109F">
        <w:rPr>
          <w:rFonts w:ascii="Calibri" w:hAnsi="Calibri" w:cs="Calibri"/>
          <w:sz w:val="22"/>
          <w:szCs w:val="22"/>
        </w:rPr>
        <w:t xml:space="preserve">services </w:t>
      </w:r>
      <w:r w:rsidR="00755AC8" w:rsidRPr="00A4109F">
        <w:rPr>
          <w:rFonts w:ascii="Calibri" w:hAnsi="Calibri" w:cs="Calibri"/>
          <w:sz w:val="22"/>
          <w:szCs w:val="22"/>
        </w:rPr>
        <w:t xml:space="preserve">procurements </w:t>
      </w:r>
      <w:r w:rsidR="0082682D" w:rsidRPr="00A4109F">
        <w:rPr>
          <w:rFonts w:ascii="Calibri" w:hAnsi="Calibri" w:cs="Calibri"/>
          <w:sz w:val="22"/>
          <w:szCs w:val="22"/>
        </w:rPr>
        <w:t xml:space="preserve">to DIR </w:t>
      </w:r>
      <w:r w:rsidR="005B3730" w:rsidRPr="00A4109F">
        <w:rPr>
          <w:rFonts w:ascii="Calibri" w:hAnsi="Calibri" w:cs="Calibri"/>
          <w:sz w:val="22"/>
          <w:szCs w:val="22"/>
        </w:rPr>
        <w:t xml:space="preserve">and to meet bid threshold requirements for commodity </w:t>
      </w:r>
      <w:r w:rsidR="00422BB1" w:rsidRPr="00A4109F">
        <w:rPr>
          <w:rFonts w:ascii="Calibri" w:hAnsi="Calibri" w:cs="Calibri"/>
          <w:sz w:val="22"/>
          <w:szCs w:val="22"/>
        </w:rPr>
        <w:t>purchases</w:t>
      </w:r>
      <w:r>
        <w:rPr>
          <w:rFonts w:ascii="Calibri" w:hAnsi="Calibri" w:cs="Calibri"/>
          <w:sz w:val="22"/>
          <w:szCs w:val="22"/>
        </w:rPr>
        <w:t xml:space="preserve">. </w:t>
      </w:r>
      <w:r w:rsidR="00422BB1" w:rsidRPr="00A4109F">
        <w:rPr>
          <w:rFonts w:ascii="Calibri" w:hAnsi="Calibri" w:cs="Calibri"/>
          <w:sz w:val="22"/>
          <w:szCs w:val="22"/>
        </w:rPr>
        <w:t>beginning</w:t>
      </w:r>
      <w:r>
        <w:rPr>
          <w:rFonts w:ascii="Calibri" w:hAnsi="Calibri" w:cs="Calibri"/>
          <w:sz w:val="22"/>
          <w:szCs w:val="22"/>
        </w:rPr>
        <w:t xml:space="preserve"> September 1, 2017</w:t>
      </w:r>
      <w:r w:rsidR="00B31AAC" w:rsidRPr="00A4109F">
        <w:rPr>
          <w:rFonts w:ascii="Calibri" w:hAnsi="Calibri" w:cs="Calibri"/>
          <w:sz w:val="22"/>
          <w:szCs w:val="22"/>
        </w:rPr>
        <w:t xml:space="preserve">. </w:t>
      </w:r>
    </w:p>
    <w:p w14:paraId="45E3C702" w14:textId="77777777" w:rsidR="005B3730" w:rsidRDefault="005B3730" w:rsidP="00B31AAC">
      <w:pPr>
        <w:pStyle w:val="Default"/>
        <w:rPr>
          <w:rFonts w:ascii="Calibri" w:hAnsi="Calibri" w:cs="Calibri"/>
          <w:sz w:val="20"/>
          <w:szCs w:val="20"/>
        </w:rPr>
      </w:pPr>
    </w:p>
    <w:p w14:paraId="7BB5D9A9" w14:textId="77777777" w:rsidR="00E61EA1" w:rsidRPr="00043D0B" w:rsidRDefault="00E61EA1" w:rsidP="00043D0B">
      <w:pPr>
        <w:pStyle w:val="Heading1"/>
        <w:ind w:left="-90"/>
        <w:jc w:val="both"/>
      </w:pPr>
      <w:r w:rsidRPr="00043D0B">
        <w:t>Customer Exceptions</w:t>
      </w:r>
    </w:p>
    <w:p w14:paraId="7013E1B5" w14:textId="26DD28FF" w:rsidR="00E61EA1" w:rsidRPr="00946EBD" w:rsidRDefault="00D738EF" w:rsidP="00B31AA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SB 533</w:t>
      </w:r>
      <w:r w:rsidR="00E61EA1" w:rsidRPr="00A4109F">
        <w:rPr>
          <w:rFonts w:ascii="Calibri" w:hAnsi="Calibri" w:cs="Calibri"/>
          <w:sz w:val="22"/>
          <w:szCs w:val="22"/>
        </w:rPr>
        <w:t xml:space="preserve"> requirements </w:t>
      </w:r>
      <w:r w:rsidR="00E61EA1" w:rsidRPr="00E61EA1">
        <w:rPr>
          <w:rFonts w:ascii="Calibri" w:hAnsi="Calibri" w:cs="Calibri"/>
          <w:sz w:val="22"/>
          <w:szCs w:val="22"/>
        </w:rPr>
        <w:t xml:space="preserve">are for state agencies only. Threshold and SOW review and signature processes do not apply to </w:t>
      </w:r>
      <w:r>
        <w:rPr>
          <w:rFonts w:ascii="Calibri" w:hAnsi="Calibri" w:cs="Calibri"/>
          <w:sz w:val="22"/>
          <w:szCs w:val="22"/>
        </w:rPr>
        <w:t>any other eligible customer, including i</w:t>
      </w:r>
      <w:r w:rsidR="00E61EA1" w:rsidRPr="00946EBD">
        <w:rPr>
          <w:rFonts w:ascii="Calibri" w:hAnsi="Calibri" w:cs="Calibri"/>
          <w:sz w:val="22"/>
          <w:szCs w:val="22"/>
        </w:rPr>
        <w:t>nstitutions of higher education, K-12, local governments, assistance organizations, or out-of-state customers.</w:t>
      </w:r>
    </w:p>
    <w:p w14:paraId="021CA6A0" w14:textId="77777777" w:rsidR="00E61EA1" w:rsidRDefault="00E61EA1" w:rsidP="00B31AAC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2030EEA4" w14:textId="323C5807" w:rsidR="00E61EA1" w:rsidRPr="00043D0B" w:rsidRDefault="00E61EA1" w:rsidP="00043D0B">
      <w:pPr>
        <w:pStyle w:val="Heading1"/>
        <w:ind w:left="-90"/>
        <w:jc w:val="both"/>
      </w:pPr>
      <w:r w:rsidRPr="00043D0B">
        <w:t>Program Exemptions</w:t>
      </w:r>
    </w:p>
    <w:p w14:paraId="3F7DDCB2" w14:textId="68D847DA" w:rsidR="00E61EA1" w:rsidRPr="00946EBD" w:rsidRDefault="00E61EA1" w:rsidP="00E61EA1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43D0B">
        <w:rPr>
          <w:rFonts w:ascii="Calibri" w:hAnsi="Calibri" w:cs="Calibri"/>
          <w:sz w:val="22"/>
          <w:szCs w:val="22"/>
        </w:rPr>
        <w:t>Threshold requirements and Statement of Work processes do not apply to contracts procured through the Data Center Services program signed by the contracted vendors (e.g. Atos, Capgemini and Xerox Corporation).</w:t>
      </w:r>
      <w:r w:rsidRPr="00946EBD">
        <w:rPr>
          <w:rFonts w:ascii="Calibri" w:hAnsi="Calibri" w:cs="Calibri"/>
          <w:sz w:val="22"/>
          <w:szCs w:val="22"/>
        </w:rPr>
        <w:t xml:space="preserve"> However, All Statements of Work that are being administered through the Data Center Services program as a Pass-through </w:t>
      </w:r>
      <w:r w:rsidR="00D738EF">
        <w:rPr>
          <w:rFonts w:ascii="Calibri" w:hAnsi="Calibri" w:cs="Calibri"/>
          <w:sz w:val="22"/>
          <w:szCs w:val="22"/>
        </w:rPr>
        <w:t>expense will be subject to SB 533</w:t>
      </w:r>
      <w:r w:rsidRPr="00946EBD">
        <w:rPr>
          <w:rFonts w:ascii="Calibri" w:hAnsi="Calibri" w:cs="Calibri"/>
          <w:sz w:val="22"/>
          <w:szCs w:val="22"/>
        </w:rPr>
        <w:t xml:space="preserve"> and State Procurement Rules.</w:t>
      </w:r>
    </w:p>
    <w:p w14:paraId="0DE67A29" w14:textId="27E0F9F3" w:rsidR="002E5418" w:rsidRPr="002E5418" w:rsidRDefault="002E5418" w:rsidP="00172E5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t>Threshold requirements and Statement of Work processes do not apply to agency customer agreements with the Texas.gov program, pursuant to its enabling statute (Subchapters F and I, Chapter 2054, Texas Government Code).</w:t>
      </w:r>
    </w:p>
    <w:p w14:paraId="6706614A" w14:textId="77777777" w:rsidR="002E5418" w:rsidRDefault="00946EBD" w:rsidP="00F604FF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2E5418">
        <w:rPr>
          <w:rFonts w:ascii="Calibri" w:hAnsi="Calibri" w:cs="Calibri"/>
        </w:rPr>
        <w:t>Thresholds do </w:t>
      </w:r>
      <w:r w:rsidRPr="002E5418">
        <w:rPr>
          <w:rFonts w:ascii="Calibri" w:hAnsi="Calibri" w:cs="Calibri"/>
          <w:b/>
          <w:bCs/>
          <w:i/>
          <w:iCs/>
          <w:u w:val="single"/>
        </w:rPr>
        <w:t>not</w:t>
      </w:r>
      <w:r w:rsidRPr="002E5418">
        <w:rPr>
          <w:rFonts w:ascii="Calibri" w:hAnsi="Calibri" w:cs="Calibri"/>
        </w:rPr>
        <w:t> apply to contracts for telecommunications services, such as TEX-AN Services and Managed Services for Telecommunications.</w:t>
      </w:r>
    </w:p>
    <w:p w14:paraId="7D563744" w14:textId="7ACF4BFD" w:rsidR="00C31512" w:rsidRPr="002E5418" w:rsidRDefault="00946EBD" w:rsidP="00F604FF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2E5418">
        <w:rPr>
          <w:rFonts w:ascii="Calibri" w:hAnsi="Calibri" w:cs="Calibri"/>
        </w:rPr>
        <w:t xml:space="preserve">Managed Services for Telecommunications contracts have separate review process for approval of Statements of Work, but will </w:t>
      </w:r>
      <w:r w:rsidRPr="002E5418">
        <w:rPr>
          <w:rFonts w:ascii="Calibri" w:hAnsi="Calibri" w:cs="Calibri"/>
          <w:b/>
          <w:bCs/>
          <w:i/>
          <w:iCs/>
          <w:u w:val="single"/>
        </w:rPr>
        <w:t>not</w:t>
      </w:r>
      <w:r w:rsidRPr="002E5418">
        <w:rPr>
          <w:rFonts w:ascii="Calibri" w:hAnsi="Calibri" w:cs="Calibri"/>
        </w:rPr>
        <w:t xml:space="preserve"> require DIR signature for executing the SOW.</w:t>
      </w:r>
    </w:p>
    <w:p w14:paraId="43D52E6B" w14:textId="77777777" w:rsidR="00E61EA1" w:rsidRPr="00043D0B" w:rsidRDefault="00E61EA1" w:rsidP="00043D0B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5108936B" w14:textId="0F49BC1A" w:rsidR="00533DC8" w:rsidRPr="00043D0B" w:rsidRDefault="00030847" w:rsidP="00043D0B">
      <w:pPr>
        <w:pStyle w:val="Heading1"/>
      </w:pPr>
      <w:r w:rsidRPr="00043D0B">
        <w:t>Threshold</w:t>
      </w:r>
      <w:r w:rsidR="00946EBD" w:rsidRPr="00043D0B">
        <w:t xml:space="preserve"> Requirements</w:t>
      </w:r>
    </w:p>
    <w:p w14:paraId="510C4870" w14:textId="77777777" w:rsidR="0082682D" w:rsidRDefault="005B3730" w:rsidP="00990CF6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rStyle w:val="Strong"/>
        </w:rPr>
        <w:t>Commodities (Hardware, Software and some services)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682D" w14:paraId="15F188B6" w14:textId="77777777" w:rsidTr="00A4109F">
        <w:tc>
          <w:tcPr>
            <w:tcW w:w="4675" w:type="dxa"/>
            <w:shd w:val="clear" w:color="auto" w:fill="5B9BD5" w:themeFill="accent1"/>
          </w:tcPr>
          <w:p w14:paraId="5F43BEFC" w14:textId="77777777" w:rsidR="0082682D" w:rsidRPr="00A4109F" w:rsidRDefault="0082682D" w:rsidP="00A4109F">
            <w:pPr>
              <w:pStyle w:val="Default"/>
              <w:jc w:val="center"/>
              <w:rPr>
                <w:rStyle w:val="Strong"/>
                <w:color w:val="FFFFFF" w:themeColor="background1"/>
              </w:rPr>
            </w:pPr>
            <w:r w:rsidRPr="00A4109F">
              <w:rPr>
                <w:rStyle w:val="Strong"/>
                <w:color w:val="FFFFFF" w:themeColor="background1"/>
              </w:rPr>
              <w:t>Contract Value</w:t>
            </w:r>
          </w:p>
        </w:tc>
        <w:tc>
          <w:tcPr>
            <w:tcW w:w="4675" w:type="dxa"/>
            <w:shd w:val="clear" w:color="auto" w:fill="5B9BD5" w:themeFill="accent1"/>
          </w:tcPr>
          <w:p w14:paraId="4502C2A2" w14:textId="77777777" w:rsidR="0082682D" w:rsidRPr="00A4109F" w:rsidRDefault="0082682D" w:rsidP="00A4109F">
            <w:pPr>
              <w:pStyle w:val="Default"/>
              <w:jc w:val="center"/>
              <w:rPr>
                <w:rStyle w:val="Strong"/>
                <w:color w:val="FFFFFF" w:themeColor="background1"/>
              </w:rPr>
            </w:pPr>
            <w:r w:rsidRPr="00A4109F">
              <w:rPr>
                <w:rStyle w:val="Strong"/>
                <w:color w:val="FFFFFF" w:themeColor="background1"/>
              </w:rPr>
              <w:t>Number of Vendors</w:t>
            </w:r>
          </w:p>
        </w:tc>
      </w:tr>
      <w:tr w:rsidR="00BD5806" w14:paraId="39175878" w14:textId="77777777" w:rsidTr="0082682D">
        <w:tc>
          <w:tcPr>
            <w:tcW w:w="4675" w:type="dxa"/>
          </w:tcPr>
          <w:p w14:paraId="6E166902" w14:textId="77777777" w:rsidR="00BD5806" w:rsidRPr="00A4109F" w:rsidRDefault="00BD5806" w:rsidP="00A4109F">
            <w:pPr>
              <w:pStyle w:val="Default"/>
              <w:spacing w:after="24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4109F">
              <w:rPr>
                <w:rFonts w:asciiTheme="minorHAnsi" w:hAnsiTheme="minorHAnsi" w:cs="Calibri"/>
                <w:bCs/>
                <w:sz w:val="22"/>
                <w:szCs w:val="22"/>
              </w:rPr>
              <w:t>$50,000 or less</w:t>
            </w:r>
          </w:p>
        </w:tc>
        <w:tc>
          <w:tcPr>
            <w:tcW w:w="4675" w:type="dxa"/>
          </w:tcPr>
          <w:p w14:paraId="6CC76916" w14:textId="77777777" w:rsidR="00BD5806" w:rsidRPr="00A4109F" w:rsidRDefault="00BD5806" w:rsidP="005B3730">
            <w:pPr>
              <w:pStyle w:val="Defaul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A4109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May award directly to vendor of choice</w:t>
            </w:r>
          </w:p>
        </w:tc>
      </w:tr>
      <w:tr w:rsidR="0082682D" w14:paraId="162E888F" w14:textId="77777777" w:rsidTr="0082682D">
        <w:tc>
          <w:tcPr>
            <w:tcW w:w="4675" w:type="dxa"/>
          </w:tcPr>
          <w:p w14:paraId="4FA9C796" w14:textId="264698DF" w:rsidR="0082682D" w:rsidRPr="00A4109F" w:rsidRDefault="0082682D" w:rsidP="00A4109F">
            <w:pPr>
              <w:pStyle w:val="Default"/>
              <w:spacing w:after="24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A4109F">
              <w:rPr>
                <w:rFonts w:asciiTheme="minorHAnsi" w:hAnsiTheme="minorHAnsi" w:cs="Calibri"/>
                <w:bCs/>
                <w:sz w:val="22"/>
                <w:szCs w:val="22"/>
              </w:rPr>
              <w:t>More than $50,000 but not more than$</w:t>
            </w:r>
            <w:r w:rsidR="00D738EF">
              <w:rPr>
                <w:rFonts w:asciiTheme="minorHAnsi" w:hAnsiTheme="minorHAnsi" w:cs="Calibri"/>
                <w:bCs/>
                <w:sz w:val="22"/>
                <w:szCs w:val="22"/>
              </w:rPr>
              <w:t>1 million</w:t>
            </w:r>
          </w:p>
        </w:tc>
        <w:tc>
          <w:tcPr>
            <w:tcW w:w="4675" w:type="dxa"/>
          </w:tcPr>
          <w:p w14:paraId="3F5AB715" w14:textId="18278313" w:rsidR="0082682D" w:rsidRPr="00A4109F" w:rsidRDefault="0082682D" w:rsidP="00946EBD">
            <w:pPr>
              <w:pStyle w:val="Defaul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A4109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946EB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46EBD" w:rsidRPr="00A4109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(or all Vendors in a category with less than </w:t>
            </w:r>
            <w:r w:rsidR="00946EBD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946EBD" w:rsidRPr="00A4109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Vendors)</w:t>
            </w:r>
          </w:p>
        </w:tc>
      </w:tr>
      <w:tr w:rsidR="0082682D" w14:paraId="11B64611" w14:textId="77777777" w:rsidTr="0082682D">
        <w:tc>
          <w:tcPr>
            <w:tcW w:w="4675" w:type="dxa"/>
          </w:tcPr>
          <w:p w14:paraId="123986F5" w14:textId="12E294E3" w:rsidR="0082682D" w:rsidRPr="00A4109F" w:rsidRDefault="00D738EF" w:rsidP="005B3730">
            <w:pPr>
              <w:pStyle w:val="Defaul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</w:t>
            </w:r>
            <w:r w:rsidR="0082682D" w:rsidRPr="00A4109F">
              <w:rPr>
                <w:rFonts w:asciiTheme="minorHAnsi" w:hAnsiTheme="minorHAnsi" w:cs="Calibri"/>
                <w:bCs/>
                <w:sz w:val="22"/>
                <w:szCs w:val="22"/>
              </w:rPr>
              <w:t>ore than $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1 million but not more than $5</w:t>
            </w:r>
            <w:r w:rsidR="0082682D" w:rsidRPr="00A4109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million</w:t>
            </w:r>
          </w:p>
        </w:tc>
        <w:tc>
          <w:tcPr>
            <w:tcW w:w="4675" w:type="dxa"/>
          </w:tcPr>
          <w:p w14:paraId="43FB108A" w14:textId="77777777" w:rsidR="0082682D" w:rsidRPr="00A4109F" w:rsidRDefault="0082682D" w:rsidP="00A4109F">
            <w:pPr>
              <w:pStyle w:val="Default"/>
              <w:spacing w:after="24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A4109F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6 (or all Vendors in a category with less than 6 Vendors)</w:t>
            </w:r>
          </w:p>
        </w:tc>
      </w:tr>
    </w:tbl>
    <w:p w14:paraId="16E39623" w14:textId="4777D2FD" w:rsidR="00030847" w:rsidRDefault="00030847" w:rsidP="00E61EA1">
      <w:pPr>
        <w:pStyle w:val="Default"/>
        <w:rPr>
          <w:rStyle w:val="Strong"/>
        </w:rPr>
      </w:pPr>
    </w:p>
    <w:p w14:paraId="5AE61B76" w14:textId="77777777" w:rsidR="00030847" w:rsidRDefault="00030847">
      <w:pPr>
        <w:rPr>
          <w:rStyle w:val="Strong"/>
          <w:rFonts w:ascii="Calibri Light" w:hAnsi="Calibri Light" w:cs="Calibri Light"/>
          <w:color w:val="000000"/>
          <w:sz w:val="24"/>
          <w:szCs w:val="24"/>
        </w:rPr>
      </w:pPr>
      <w:r>
        <w:rPr>
          <w:rStyle w:val="Strong"/>
        </w:rPr>
        <w:br w:type="page"/>
      </w:r>
    </w:p>
    <w:p w14:paraId="58DFAE61" w14:textId="48B858C1" w:rsidR="00030847" w:rsidRPr="00043D0B" w:rsidRDefault="00946EBD" w:rsidP="00043D0B">
      <w:pPr>
        <w:pStyle w:val="Heading1"/>
      </w:pPr>
      <w:r w:rsidRPr="00043D0B">
        <w:lastRenderedPageBreak/>
        <w:t>SOW Requirements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30847" w:rsidRPr="00990CF6" w14:paraId="653C8F08" w14:textId="77777777" w:rsidTr="00043D0B">
        <w:trPr>
          <w:trHeight w:val="215"/>
        </w:trPr>
        <w:tc>
          <w:tcPr>
            <w:tcW w:w="4675" w:type="dxa"/>
            <w:shd w:val="clear" w:color="auto" w:fill="5B9BD5" w:themeFill="accent1"/>
          </w:tcPr>
          <w:p w14:paraId="26EE0387" w14:textId="77777777" w:rsidR="00030847" w:rsidRPr="00FB783F" w:rsidRDefault="00030847" w:rsidP="00FB783F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B783F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</w:rPr>
              <w:t>Required</w:t>
            </w:r>
          </w:p>
        </w:tc>
        <w:tc>
          <w:tcPr>
            <w:tcW w:w="4675" w:type="dxa"/>
            <w:shd w:val="clear" w:color="auto" w:fill="000000" w:themeFill="text1"/>
          </w:tcPr>
          <w:p w14:paraId="140A2BBC" w14:textId="77777777" w:rsidR="00030847" w:rsidRPr="00FB783F" w:rsidRDefault="00030847" w:rsidP="00FB783F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B783F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</w:rPr>
              <w:t>Excluded</w:t>
            </w:r>
          </w:p>
        </w:tc>
      </w:tr>
      <w:tr w:rsidR="00030847" w:rsidRPr="00562B68" w14:paraId="24486178" w14:textId="77777777" w:rsidTr="00043D0B">
        <w:tc>
          <w:tcPr>
            <w:tcW w:w="4675" w:type="dxa"/>
          </w:tcPr>
          <w:p w14:paraId="5F480789" w14:textId="77777777" w:rsidR="00030847" w:rsidRPr="00FB783F" w:rsidRDefault="00030847" w:rsidP="00FB783F">
            <w:pPr>
              <w:pStyle w:val="Heading1"/>
              <w:spacing w:before="0" w:after="240"/>
              <w:outlineLvl w:val="0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FB783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State agencies procuring more than</w:t>
            </w:r>
            <w:r w:rsidRPr="00FB783F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$50,000 worth of services from the contracts list above.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956069B" w14:textId="77777777" w:rsidR="00030847" w:rsidRPr="00FB783F" w:rsidRDefault="00030847" w:rsidP="00FB783F">
            <w:pPr>
              <w:pStyle w:val="Heading1"/>
              <w:spacing w:before="0"/>
              <w:outlineLvl w:val="0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FB783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Institutions of Higher Education</w:t>
            </w:r>
          </w:p>
        </w:tc>
      </w:tr>
      <w:tr w:rsidR="00030847" w:rsidRPr="00562B68" w14:paraId="2F312B1A" w14:textId="77777777" w:rsidTr="00043D0B">
        <w:tc>
          <w:tcPr>
            <w:tcW w:w="4675" w:type="dxa"/>
          </w:tcPr>
          <w:p w14:paraId="07D0076C" w14:textId="2DD75953" w:rsidR="00030847" w:rsidRPr="00FB783F" w:rsidRDefault="00030847" w:rsidP="00043D0B">
            <w:pPr>
              <w:pStyle w:val="Heading1"/>
              <w:spacing w:before="0"/>
              <w:outlineLvl w:val="0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FB783F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Data Center Services SOWs administered as a </w:t>
            </w:r>
            <w:r w:rsidR="00043D0B">
              <w:rPr>
                <w:rFonts w:asciiTheme="minorHAnsi" w:hAnsiTheme="minorHAnsi" w:cs="Calibri"/>
                <w:color w:val="auto"/>
                <w:sz w:val="22"/>
                <w:szCs w:val="22"/>
              </w:rPr>
              <w:t>p</w:t>
            </w:r>
            <w:r w:rsidRPr="00FB783F">
              <w:rPr>
                <w:rFonts w:asciiTheme="minorHAnsi" w:hAnsiTheme="minorHAnsi" w:cs="Calibri"/>
                <w:color w:val="auto"/>
                <w:sz w:val="22"/>
                <w:szCs w:val="22"/>
              </w:rPr>
              <w:t>ass</w:t>
            </w:r>
            <w:r w:rsidRPr="00FB783F"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  <w:r w:rsidRPr="00FB783F">
              <w:rPr>
                <w:rFonts w:asciiTheme="minorHAnsi" w:hAnsiTheme="minorHAnsi" w:cs="Calibri"/>
                <w:color w:val="auto"/>
                <w:sz w:val="22"/>
                <w:szCs w:val="22"/>
              </w:rPr>
              <w:t>through expense</w:t>
            </w:r>
            <w:r w:rsidR="00043D0B">
              <w:rPr>
                <w:rFonts w:asciiTheme="minorHAnsi" w:hAnsiTheme="minorHAnsi" w:cs="Calibri"/>
                <w:color w:val="auto"/>
                <w:sz w:val="22"/>
                <w:szCs w:val="22"/>
              </w:rPr>
              <w:t>*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2B97102" w14:textId="36F6F2D3" w:rsidR="00030847" w:rsidRPr="00FB783F" w:rsidRDefault="00030847" w:rsidP="00FB783F">
            <w:pPr>
              <w:pStyle w:val="Heading1"/>
              <w:spacing w:before="0" w:after="240"/>
              <w:outlineLvl w:val="0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FB783F">
              <w:rPr>
                <w:rFonts w:asciiTheme="minorHAnsi" w:hAnsiTheme="minorHAnsi" w:cs="Calibri"/>
                <w:color w:val="auto"/>
                <w:sz w:val="22"/>
                <w:szCs w:val="22"/>
              </w:rPr>
              <w:t>Data Center Services contracts that are signed by the contracted vendors (e.g., Atos, C</w:t>
            </w:r>
            <w:r w:rsidR="00065995">
              <w:rPr>
                <w:rFonts w:asciiTheme="minorHAnsi" w:hAnsiTheme="minorHAnsi" w:cs="Calibri"/>
                <w:color w:val="auto"/>
                <w:sz w:val="22"/>
                <w:szCs w:val="22"/>
              </w:rPr>
              <w:t>apgemini and Xerox Corporation)</w:t>
            </w:r>
          </w:p>
        </w:tc>
      </w:tr>
      <w:tr w:rsidR="00030847" w:rsidRPr="00562B68" w14:paraId="0A401E86" w14:textId="77777777" w:rsidTr="00043D0B">
        <w:tc>
          <w:tcPr>
            <w:tcW w:w="4675" w:type="dxa"/>
          </w:tcPr>
          <w:p w14:paraId="0C4F41F7" w14:textId="77777777" w:rsidR="00030847" w:rsidRPr="00FB783F" w:rsidRDefault="00030847" w:rsidP="00FB783F">
            <w:pPr>
              <w:pStyle w:val="Heading1"/>
              <w:spacing w:before="0" w:after="240"/>
              <w:outlineLvl w:val="0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57A25913" w14:textId="7D08C89B" w:rsidR="00030847" w:rsidRPr="00FB783F" w:rsidRDefault="00030847" w:rsidP="00981574">
            <w:pPr>
              <w:pStyle w:val="Heading1"/>
              <w:spacing w:before="0" w:after="240"/>
              <w:outlineLvl w:val="0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FB783F">
              <w:rPr>
                <w:rFonts w:asciiTheme="minorHAnsi" w:hAnsiTheme="minorHAnsi" w:cs="Calibri"/>
                <w:color w:val="auto"/>
                <w:sz w:val="22"/>
                <w:szCs w:val="22"/>
              </w:rPr>
              <w:t>Managed Services for Telecommunications (</w:t>
            </w:r>
            <w:r w:rsidR="004B0964" w:rsidRPr="00FB783F">
              <w:rPr>
                <w:rFonts w:asciiTheme="minorHAnsi" w:hAnsiTheme="minorHAnsi" w:cs="Calibri"/>
                <w:color w:val="auto"/>
                <w:sz w:val="22"/>
                <w:szCs w:val="22"/>
              </w:rPr>
              <w:t>Excluded</w:t>
            </w:r>
            <w:r w:rsidRPr="00FB783F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from this requirement but </w:t>
            </w:r>
            <w:r w:rsidR="00065995">
              <w:rPr>
                <w:rFonts w:asciiTheme="minorHAnsi" w:hAnsiTheme="minorHAnsi" w:cs="Calibri"/>
                <w:color w:val="auto"/>
                <w:sz w:val="22"/>
                <w:szCs w:val="22"/>
              </w:rPr>
              <w:t>have a separate review process)</w:t>
            </w:r>
          </w:p>
        </w:tc>
      </w:tr>
      <w:tr w:rsidR="00981574" w:rsidRPr="00562B68" w14:paraId="73776034" w14:textId="77777777" w:rsidTr="00043D0B">
        <w:tc>
          <w:tcPr>
            <w:tcW w:w="4675" w:type="dxa"/>
          </w:tcPr>
          <w:p w14:paraId="32B15342" w14:textId="77777777" w:rsidR="00981574" w:rsidRPr="00FB783F" w:rsidRDefault="00981574" w:rsidP="00FB783F">
            <w:pPr>
              <w:pStyle w:val="Heading1"/>
              <w:spacing w:before="0" w:after="240"/>
              <w:outlineLvl w:val="0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57D3CD49" w14:textId="160C28CC" w:rsidR="00981574" w:rsidRPr="00FB783F" w:rsidRDefault="00065995" w:rsidP="00FB783F">
            <w:pPr>
              <w:pStyle w:val="Heading1"/>
              <w:spacing w:before="0" w:after="240"/>
              <w:outlineLvl w:val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A</w:t>
            </w:r>
            <w:r w:rsidRPr="00065995">
              <w:rPr>
                <w:rFonts w:asciiTheme="minorHAnsi" w:hAnsiTheme="minorHAnsi" w:cs="Calibri"/>
                <w:color w:val="auto"/>
                <w:sz w:val="22"/>
                <w:szCs w:val="22"/>
              </w:rPr>
              <w:t>gency customer agreements with the Texas.gov program</w:t>
            </w:r>
          </w:p>
        </w:tc>
      </w:tr>
    </w:tbl>
    <w:p w14:paraId="1718585D" w14:textId="06755175" w:rsidR="00946EBD" w:rsidRPr="00043D0B" w:rsidRDefault="00043D0B" w:rsidP="00E61EA1">
      <w:pPr>
        <w:pStyle w:val="Default"/>
        <w:rPr>
          <w:rStyle w:val="Strong"/>
          <w:sz w:val="18"/>
          <w:szCs w:val="18"/>
        </w:rPr>
      </w:pPr>
      <w:r w:rsidRPr="00043D0B">
        <w:rPr>
          <w:rStyle w:val="Strong"/>
          <w:sz w:val="18"/>
          <w:szCs w:val="18"/>
        </w:rPr>
        <w:t>*</w:t>
      </w:r>
      <w:r w:rsidRPr="00043D0B">
        <w:rPr>
          <w:sz w:val="18"/>
          <w:szCs w:val="18"/>
        </w:rPr>
        <w:t>DIR or DIR Customer may choose to pass through DCS related 3</w:t>
      </w:r>
      <w:r w:rsidRPr="00043D0B">
        <w:rPr>
          <w:sz w:val="18"/>
          <w:szCs w:val="18"/>
          <w:vertAlign w:val="superscript"/>
        </w:rPr>
        <w:t>rd</w:t>
      </w:r>
      <w:r w:rsidRPr="00043D0B">
        <w:rPr>
          <w:sz w:val="18"/>
          <w:szCs w:val="18"/>
        </w:rPr>
        <w:t xml:space="preserve"> party services </w:t>
      </w:r>
      <w:proofErr w:type="gramStart"/>
      <w:r w:rsidRPr="00043D0B">
        <w:rPr>
          <w:sz w:val="18"/>
          <w:szCs w:val="18"/>
        </w:rPr>
        <w:t>as long as</w:t>
      </w:r>
      <w:proofErr w:type="gramEnd"/>
      <w:r w:rsidRPr="00043D0B">
        <w:rPr>
          <w:sz w:val="18"/>
          <w:szCs w:val="18"/>
        </w:rPr>
        <w:t xml:space="preserve"> the services are not within the DCS Service Providers’ scope of work.  The most typical reason for these “pass-through expenses” are for services or training related to a software purchase (in which the customer receives discounted prices for services when purchasing software).  Software purchases are not allowed as a pass-through expense.</w:t>
      </w:r>
    </w:p>
    <w:p w14:paraId="398A969A" w14:textId="77777777" w:rsidR="00043D0B" w:rsidRDefault="00043D0B" w:rsidP="00E61EA1">
      <w:pPr>
        <w:pStyle w:val="Default"/>
        <w:rPr>
          <w:rStyle w:val="Strong"/>
        </w:rPr>
      </w:pPr>
    </w:p>
    <w:p w14:paraId="6172EB46" w14:textId="5CE34D46" w:rsidR="00E61EA1" w:rsidRDefault="00E61EA1" w:rsidP="00E61EA1">
      <w:pPr>
        <w:pStyle w:val="Default"/>
        <w:rPr>
          <w:rStyle w:val="Strong"/>
        </w:rPr>
      </w:pPr>
      <w:r>
        <w:rPr>
          <w:rStyle w:val="Strong"/>
        </w:rPr>
        <w:t>Services</w:t>
      </w:r>
    </w:p>
    <w:p w14:paraId="10B8B9CB" w14:textId="461E24E0" w:rsidR="00E61EA1" w:rsidRPr="00A4109F" w:rsidRDefault="00E61EA1" w:rsidP="00E61EA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service procurements with an estimated value</w:t>
      </w:r>
      <w:r w:rsidR="00A8247B">
        <w:rPr>
          <w:rFonts w:ascii="Calibri" w:hAnsi="Calibri" w:cs="Calibri"/>
          <w:sz w:val="22"/>
          <w:szCs w:val="22"/>
        </w:rPr>
        <w:t xml:space="preserve"> more than </w:t>
      </w:r>
      <w:r w:rsidRPr="00A4109F">
        <w:rPr>
          <w:rFonts w:ascii="Calibri" w:hAnsi="Calibri" w:cs="Calibri"/>
          <w:sz w:val="22"/>
          <w:szCs w:val="22"/>
        </w:rPr>
        <w:t xml:space="preserve">$50,000 but </w:t>
      </w:r>
      <w:r w:rsidR="00A8247B">
        <w:rPr>
          <w:rFonts w:ascii="Calibri" w:hAnsi="Calibri" w:cs="Calibri"/>
          <w:sz w:val="22"/>
          <w:szCs w:val="22"/>
        </w:rPr>
        <w:t>less than</w:t>
      </w:r>
      <w:r w:rsidR="00D738EF">
        <w:rPr>
          <w:rFonts w:ascii="Calibri" w:hAnsi="Calibri" w:cs="Calibri"/>
          <w:sz w:val="22"/>
          <w:szCs w:val="22"/>
        </w:rPr>
        <w:t xml:space="preserve"> $5</w:t>
      </w:r>
      <w:bookmarkStart w:id="0" w:name="_GoBack"/>
      <w:bookmarkEnd w:id="0"/>
      <w:r w:rsidRPr="00A4109F">
        <w:rPr>
          <w:rFonts w:ascii="Calibri" w:hAnsi="Calibri" w:cs="Calibri"/>
          <w:sz w:val="22"/>
          <w:szCs w:val="22"/>
        </w:rPr>
        <w:t>,000,000</w:t>
      </w:r>
      <w:r>
        <w:rPr>
          <w:rFonts w:ascii="Calibri" w:hAnsi="Calibri" w:cs="Calibri"/>
          <w:sz w:val="22"/>
          <w:szCs w:val="22"/>
        </w:rPr>
        <w:t xml:space="preserve">, </w:t>
      </w:r>
      <w:r w:rsidRPr="00A4109F">
        <w:rPr>
          <w:rFonts w:ascii="Calibri" w:hAnsi="Calibri" w:cs="Calibri"/>
          <w:sz w:val="22"/>
          <w:szCs w:val="22"/>
        </w:rPr>
        <w:t>DIR contracts requiring SOWs include</w:t>
      </w:r>
      <w:r>
        <w:rPr>
          <w:rFonts w:ascii="Calibri" w:hAnsi="Calibri" w:cs="Calibri"/>
          <w:sz w:val="22"/>
          <w:szCs w:val="22"/>
        </w:rPr>
        <w:t>, but are not limited to:</w:t>
      </w:r>
      <w:r w:rsidRPr="00A4109F">
        <w:rPr>
          <w:rFonts w:ascii="Calibri" w:hAnsi="Calibri" w:cs="Calibri"/>
          <w:sz w:val="22"/>
          <w:szCs w:val="22"/>
        </w:rPr>
        <w:t xml:space="preserve"> </w:t>
      </w:r>
    </w:p>
    <w:p w14:paraId="19BC60AA" w14:textId="77777777" w:rsidR="00E61EA1" w:rsidRPr="00A4109F" w:rsidRDefault="00E61EA1" w:rsidP="00E61EA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109F">
        <w:rPr>
          <w:rFonts w:ascii="Calibri" w:hAnsi="Calibri" w:cs="Calibri"/>
          <w:sz w:val="22"/>
          <w:szCs w:val="22"/>
        </w:rPr>
        <w:t xml:space="preserve">Deliverables‐Based Information Technology Services (DBITS), </w:t>
      </w:r>
    </w:p>
    <w:p w14:paraId="6AD50AE9" w14:textId="77777777" w:rsidR="00E61EA1" w:rsidRPr="00A4109F" w:rsidRDefault="00E61EA1" w:rsidP="00E61EA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109F">
        <w:rPr>
          <w:rFonts w:ascii="Calibri" w:hAnsi="Calibri" w:cs="Calibri"/>
          <w:sz w:val="22"/>
          <w:szCs w:val="22"/>
        </w:rPr>
        <w:t xml:space="preserve">Managed Services for Information Technology, </w:t>
      </w:r>
    </w:p>
    <w:p w14:paraId="0A106C7B" w14:textId="77777777" w:rsidR="00E61EA1" w:rsidRDefault="00E61EA1" w:rsidP="00E61EA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109F">
        <w:rPr>
          <w:rFonts w:ascii="Calibri" w:hAnsi="Calibri" w:cs="Calibri"/>
          <w:sz w:val="22"/>
          <w:szCs w:val="22"/>
        </w:rPr>
        <w:t xml:space="preserve">IT Security Services, </w:t>
      </w:r>
    </w:p>
    <w:p w14:paraId="331E6A73" w14:textId="0C6D7A4D" w:rsidR="00E61EA1" w:rsidRDefault="00E61EA1" w:rsidP="00E61EA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109F">
        <w:rPr>
          <w:rFonts w:ascii="Calibri" w:hAnsi="Calibri" w:cs="Calibri"/>
          <w:sz w:val="22"/>
          <w:szCs w:val="22"/>
        </w:rPr>
        <w:t xml:space="preserve">Cloud Services </w:t>
      </w:r>
      <w:r w:rsidR="00A8247B">
        <w:rPr>
          <w:rFonts w:ascii="Calibri" w:hAnsi="Calibri" w:cs="Calibri"/>
          <w:sz w:val="22"/>
          <w:szCs w:val="22"/>
        </w:rPr>
        <w:t>(when an SOW is executed)</w:t>
      </w:r>
    </w:p>
    <w:p w14:paraId="30E6875C" w14:textId="2959C56C" w:rsidR="00E61EA1" w:rsidRPr="00043D0B" w:rsidRDefault="00E61EA1" w:rsidP="00E61EA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43D0B">
        <w:rPr>
          <w:rFonts w:ascii="Calibri" w:hAnsi="Calibri" w:cs="Calibri"/>
          <w:sz w:val="22"/>
          <w:szCs w:val="22"/>
        </w:rPr>
        <w:t xml:space="preserve">Comprehensive </w:t>
      </w:r>
      <w:r w:rsidR="00A8247B" w:rsidRPr="00043D0B">
        <w:rPr>
          <w:rFonts w:ascii="Calibri" w:hAnsi="Calibri" w:cs="Calibri"/>
          <w:sz w:val="22"/>
          <w:szCs w:val="22"/>
        </w:rPr>
        <w:t>W</w:t>
      </w:r>
      <w:r w:rsidRPr="00043D0B">
        <w:rPr>
          <w:rFonts w:ascii="Calibri" w:hAnsi="Calibri" w:cs="Calibri"/>
          <w:sz w:val="22"/>
          <w:szCs w:val="22"/>
        </w:rPr>
        <w:t xml:space="preserve">eb </w:t>
      </w:r>
      <w:r w:rsidR="00A8247B" w:rsidRPr="00043D0B">
        <w:rPr>
          <w:rFonts w:ascii="Calibri" w:hAnsi="Calibri" w:cs="Calibri"/>
          <w:sz w:val="22"/>
          <w:szCs w:val="22"/>
        </w:rPr>
        <w:t>D</w:t>
      </w:r>
      <w:r w:rsidRPr="00043D0B">
        <w:rPr>
          <w:rFonts w:ascii="Calibri" w:hAnsi="Calibri" w:cs="Calibri"/>
          <w:sz w:val="22"/>
          <w:szCs w:val="22"/>
        </w:rPr>
        <w:t>evelopment</w:t>
      </w:r>
    </w:p>
    <w:p w14:paraId="0277A15E" w14:textId="77777777" w:rsidR="008B69F3" w:rsidRDefault="008B69F3" w:rsidP="008B69F3">
      <w:pPr>
        <w:pStyle w:val="Heading1"/>
      </w:pPr>
      <w:r>
        <w:t>Statement of Work Review Process</w:t>
      </w:r>
    </w:p>
    <w:p w14:paraId="42765456" w14:textId="121C3CF3" w:rsidR="00562B68" w:rsidRPr="00755AC8" w:rsidRDefault="00562B68" w:rsidP="00A4109F">
      <w:pPr>
        <w:spacing w:after="0"/>
      </w:pPr>
      <w:r>
        <w:t>The SOW Review</w:t>
      </w:r>
      <w:r w:rsidR="00BD5806">
        <w:t xml:space="preserve"> Process has four phases: Draft</w:t>
      </w:r>
      <w:r w:rsidR="00946EBD">
        <w:t xml:space="preserve"> Submission</w:t>
      </w:r>
      <w:r>
        <w:t xml:space="preserve">, </w:t>
      </w:r>
      <w:r w:rsidR="00946EBD">
        <w:t>Draft Review</w:t>
      </w:r>
      <w:r>
        <w:t xml:space="preserve">, Final </w:t>
      </w:r>
      <w:r w:rsidR="00946EBD">
        <w:t xml:space="preserve">Submission, Final </w:t>
      </w:r>
      <w:r>
        <w:t>Review</w:t>
      </w:r>
      <w:r w:rsidR="00030847">
        <w:t xml:space="preserve"> </w:t>
      </w:r>
      <w:r w:rsidR="00755AC8">
        <w:t xml:space="preserve">and </w:t>
      </w:r>
      <w:r w:rsidR="00946EBD">
        <w:t>Execution.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222B38" w14:paraId="171C9900" w14:textId="77777777" w:rsidTr="00A41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C8BE97D" w14:textId="7E8445D1" w:rsidR="00222B38" w:rsidRPr="00A4109F" w:rsidRDefault="00BD5806" w:rsidP="00B31AA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A4109F">
              <w:rPr>
                <w:color w:val="FFFFFF" w:themeColor="background1"/>
                <w:sz w:val="22"/>
                <w:szCs w:val="22"/>
              </w:rPr>
              <w:t>Participants</w:t>
            </w:r>
          </w:p>
        </w:tc>
        <w:tc>
          <w:tcPr>
            <w:tcW w:w="7825" w:type="dxa"/>
          </w:tcPr>
          <w:p w14:paraId="18B9486F" w14:textId="6DC4222B" w:rsidR="00BD5806" w:rsidRPr="00A4109F" w:rsidRDefault="00BD5806" w:rsidP="00043D0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2"/>
                <w:szCs w:val="22"/>
              </w:rPr>
            </w:pPr>
            <w:r w:rsidRPr="00A4109F">
              <w:rPr>
                <w:color w:val="FFFFFF" w:themeColor="background1"/>
                <w:sz w:val="22"/>
                <w:szCs w:val="22"/>
              </w:rPr>
              <w:t>Phase</w:t>
            </w:r>
            <w:r w:rsidR="00043D0B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4109F">
              <w:rPr>
                <w:color w:val="FFFFFF" w:themeColor="background1"/>
                <w:sz w:val="22"/>
                <w:szCs w:val="22"/>
              </w:rPr>
              <w:t>Steps</w:t>
            </w:r>
          </w:p>
        </w:tc>
      </w:tr>
      <w:tr w:rsidR="00222B38" w14:paraId="34D2F54F" w14:textId="77777777" w:rsidTr="00A41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F266433" w14:textId="77777777" w:rsidR="00222B38" w:rsidRPr="00A4109F" w:rsidRDefault="00CA7A00" w:rsidP="00B31AA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Agency &amp; DIR</w:t>
            </w:r>
          </w:p>
        </w:tc>
        <w:tc>
          <w:tcPr>
            <w:tcW w:w="7825" w:type="dxa"/>
          </w:tcPr>
          <w:p w14:paraId="3EDED224" w14:textId="77777777" w:rsidR="00562B68" w:rsidRDefault="00562B68" w:rsidP="00B31A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4109F">
              <w:rPr>
                <w:rFonts w:ascii="Calibri" w:hAnsi="Calibri" w:cs="Calibri"/>
                <w:b/>
                <w:sz w:val="20"/>
                <w:szCs w:val="20"/>
              </w:rPr>
              <w:t>DRAFT</w:t>
            </w:r>
          </w:p>
          <w:p w14:paraId="05309236" w14:textId="77777777" w:rsidR="00222B38" w:rsidRDefault="00222B38" w:rsidP="00B31A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Agencies will submit draft SOWs to DIR for review before offering SOWs to vendor(s).</w:t>
            </w:r>
          </w:p>
          <w:p w14:paraId="3365E102" w14:textId="6F58D890" w:rsidR="00222B38" w:rsidRDefault="00222B38" w:rsidP="00B31A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DIR will review the SOWs and consult with the agency as necessary to ensure the scope of the SOW aligns with the Master Contract being solicited. </w:t>
            </w:r>
          </w:p>
          <w:p w14:paraId="51BF5955" w14:textId="3E78F477" w:rsidR="00222B38" w:rsidRDefault="00CA7A00" w:rsidP="00B31A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222B38">
              <w:rPr>
                <w:rFonts w:ascii="Calibri" w:hAnsi="Calibri" w:cs="Calibri"/>
                <w:sz w:val="20"/>
                <w:szCs w:val="20"/>
              </w:rPr>
              <w:t>omments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22B38">
              <w:rPr>
                <w:rFonts w:ascii="Calibri" w:hAnsi="Calibri" w:cs="Calibri"/>
                <w:sz w:val="20"/>
                <w:szCs w:val="20"/>
              </w:rPr>
              <w:t>findings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and </w:t>
            </w:r>
            <w:r w:rsidR="00222B38">
              <w:rPr>
                <w:rFonts w:ascii="Calibri" w:hAnsi="Calibri" w:cs="Calibri"/>
                <w:sz w:val="20"/>
                <w:szCs w:val="20"/>
              </w:rPr>
              <w:t>determination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(approval/rejection) will be by email for record purposes.</w:t>
            </w:r>
          </w:p>
        </w:tc>
      </w:tr>
      <w:tr w:rsidR="00CA7A00" w14:paraId="08B6F57B" w14:textId="77777777" w:rsidTr="001C5B34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C19B2F7" w14:textId="77777777" w:rsidR="00CA7A00" w:rsidRPr="00A4109F" w:rsidRDefault="00CA7A00" w:rsidP="00B31AA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A4109F">
              <w:rPr>
                <w:color w:val="FFFFFF" w:themeColor="background1"/>
                <w:sz w:val="22"/>
                <w:szCs w:val="22"/>
              </w:rPr>
              <w:t>Agency</w:t>
            </w:r>
          </w:p>
        </w:tc>
        <w:tc>
          <w:tcPr>
            <w:tcW w:w="7825" w:type="dxa"/>
          </w:tcPr>
          <w:p w14:paraId="20F36A5A" w14:textId="77777777" w:rsidR="00B41581" w:rsidRPr="00A4109F" w:rsidRDefault="00B41581" w:rsidP="00B31A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A4109F">
              <w:rPr>
                <w:rFonts w:ascii="Calibri" w:hAnsi="Calibri" w:cs="Calibri"/>
                <w:b/>
                <w:sz w:val="20"/>
                <w:szCs w:val="20"/>
              </w:rPr>
              <w:t>Preliminary</w:t>
            </w:r>
          </w:p>
          <w:p w14:paraId="3543B026" w14:textId="7FD074B5" w:rsidR="00CA7A00" w:rsidRDefault="00CA7A00" w:rsidP="00B31A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agency will</w:t>
            </w:r>
            <w:r w:rsidR="00A8247B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0C97727" w14:textId="0C2C155F" w:rsidR="00CA7A00" w:rsidRDefault="00CA7A00" w:rsidP="00B31A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Submit the approved draft SOW to vendors.</w:t>
            </w:r>
          </w:p>
          <w:p w14:paraId="4BECC25F" w14:textId="3724581F" w:rsidR="00CA7A00" w:rsidRDefault="00CA7A00" w:rsidP="00B31A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Evaluate responses and negotiate the final version of the SOW.</w:t>
            </w:r>
          </w:p>
          <w:p w14:paraId="54E9A0FC" w14:textId="605ADF09" w:rsidR="00CA7A00" w:rsidRDefault="00CA7A00" w:rsidP="00B31A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agency and vendor </w:t>
            </w:r>
            <w:r w:rsidR="00946EBD">
              <w:rPr>
                <w:rFonts w:ascii="Calibri" w:hAnsi="Calibri" w:cs="Calibri"/>
                <w:sz w:val="20"/>
                <w:szCs w:val="20"/>
              </w:rPr>
              <w:t>execute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their portions of the final SOW.</w:t>
            </w:r>
          </w:p>
          <w:p w14:paraId="21D1CD1F" w14:textId="77777777" w:rsidR="00CA7A00" w:rsidRDefault="00CA7A00" w:rsidP="00B31A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agency will send the signed version of the SOW to DIR for review.</w:t>
            </w:r>
          </w:p>
        </w:tc>
      </w:tr>
      <w:tr w:rsidR="00222B38" w14:paraId="7F306B21" w14:textId="77777777" w:rsidTr="00A41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DF433A4" w14:textId="77777777" w:rsidR="00222B38" w:rsidRPr="00A4109F" w:rsidRDefault="00CA7A00" w:rsidP="00B31AA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A4109F">
              <w:rPr>
                <w:color w:val="FFFFFF" w:themeColor="background1"/>
                <w:sz w:val="22"/>
                <w:szCs w:val="22"/>
              </w:rPr>
              <w:t>DIR</w:t>
            </w:r>
          </w:p>
        </w:tc>
        <w:tc>
          <w:tcPr>
            <w:tcW w:w="7825" w:type="dxa"/>
          </w:tcPr>
          <w:p w14:paraId="4C6E111D" w14:textId="77777777" w:rsidR="00B41581" w:rsidRPr="00A4109F" w:rsidRDefault="00B41581" w:rsidP="00222B3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A4109F">
              <w:rPr>
                <w:rFonts w:ascii="Calibri" w:hAnsi="Calibri" w:cs="Calibri"/>
                <w:b/>
                <w:sz w:val="20"/>
                <w:szCs w:val="20"/>
              </w:rPr>
              <w:t>Final Review</w:t>
            </w:r>
          </w:p>
          <w:p w14:paraId="35936D29" w14:textId="77777777" w:rsidR="00222B38" w:rsidRDefault="00222B38" w:rsidP="00222B3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DIR will review the final negotiated SOW to ensure it is still within the original scope and, when so, will execute the SOW and return to the agency. </w:t>
            </w:r>
          </w:p>
          <w:p w14:paraId="73CF9FBF" w14:textId="77777777" w:rsidR="00222B38" w:rsidRDefault="00222B38" w:rsidP="00B31A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22B38" w14:paraId="15AB5515" w14:textId="77777777" w:rsidTr="00A41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F8ABDDB" w14:textId="77777777" w:rsidR="00222B38" w:rsidRPr="00A4109F" w:rsidRDefault="00CA7A00" w:rsidP="00B31AA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A4109F">
              <w:rPr>
                <w:color w:val="FFFFFF" w:themeColor="background1"/>
                <w:sz w:val="22"/>
                <w:szCs w:val="22"/>
              </w:rPr>
              <w:t>Agency</w:t>
            </w:r>
          </w:p>
        </w:tc>
        <w:tc>
          <w:tcPr>
            <w:tcW w:w="7825" w:type="dxa"/>
          </w:tcPr>
          <w:p w14:paraId="08A277EB" w14:textId="77777777" w:rsidR="00B41581" w:rsidRPr="00A4109F" w:rsidRDefault="00B41581" w:rsidP="00222B3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A4109F">
              <w:rPr>
                <w:rFonts w:ascii="Calibri" w:hAnsi="Calibri" w:cs="Calibri"/>
                <w:b/>
                <w:sz w:val="20"/>
                <w:szCs w:val="20"/>
              </w:rPr>
              <w:t>Executed</w:t>
            </w:r>
          </w:p>
          <w:p w14:paraId="327475E2" w14:textId="77777777" w:rsidR="00946EBD" w:rsidRDefault="00222B38" w:rsidP="00222B3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Once executed, the agency </w:t>
            </w:r>
            <w:r w:rsidR="00946EBD">
              <w:rPr>
                <w:rFonts w:ascii="Calibri" w:hAnsi="Calibri" w:cs="Calibri"/>
                <w:sz w:val="20"/>
                <w:szCs w:val="20"/>
              </w:rPr>
              <w:t xml:space="preserve">may issue a purchase order to the vendor. </w:t>
            </w:r>
          </w:p>
          <w:p w14:paraId="34ED7B98" w14:textId="0743C422" w:rsidR="00222B38" w:rsidRDefault="00946EBD" w:rsidP="000659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agency </w:t>
            </w:r>
            <w:r w:rsidR="00222B38">
              <w:rPr>
                <w:rFonts w:ascii="Calibri" w:hAnsi="Calibri" w:cs="Calibri"/>
                <w:sz w:val="20"/>
                <w:szCs w:val="20"/>
              </w:rPr>
              <w:t xml:space="preserve">must post the SOW on its website. </w:t>
            </w:r>
          </w:p>
        </w:tc>
      </w:tr>
    </w:tbl>
    <w:p w14:paraId="319AE417" w14:textId="77777777" w:rsidR="0012086C" w:rsidRPr="00755AC8" w:rsidRDefault="0012086C"/>
    <w:sectPr w:rsidR="0012086C" w:rsidRPr="00755AC8" w:rsidSect="00C330A4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672"/>
    <w:multiLevelType w:val="hybridMultilevel"/>
    <w:tmpl w:val="821A86E2"/>
    <w:lvl w:ilvl="0" w:tplc="5D4C94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A56"/>
    <w:multiLevelType w:val="hybridMultilevel"/>
    <w:tmpl w:val="F57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0788"/>
    <w:multiLevelType w:val="hybridMultilevel"/>
    <w:tmpl w:val="532C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0488"/>
    <w:multiLevelType w:val="hybridMultilevel"/>
    <w:tmpl w:val="F600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10245"/>
    <w:multiLevelType w:val="hybridMultilevel"/>
    <w:tmpl w:val="8188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D4551"/>
    <w:multiLevelType w:val="hybridMultilevel"/>
    <w:tmpl w:val="091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63F0"/>
    <w:multiLevelType w:val="hybridMultilevel"/>
    <w:tmpl w:val="8996B7FC"/>
    <w:lvl w:ilvl="0" w:tplc="D236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6C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8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47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81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E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A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EB19FC"/>
    <w:multiLevelType w:val="hybridMultilevel"/>
    <w:tmpl w:val="0AC43ACE"/>
    <w:lvl w:ilvl="0" w:tplc="832EDB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C6415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28F5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C4C6D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AC47F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CCD2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86EDC4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DAFC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CAD4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8"/>
    <w:rsid w:val="00030847"/>
    <w:rsid w:val="00043D0B"/>
    <w:rsid w:val="00065995"/>
    <w:rsid w:val="00075A08"/>
    <w:rsid w:val="0012086C"/>
    <w:rsid w:val="00222B38"/>
    <w:rsid w:val="0027265D"/>
    <w:rsid w:val="002E5418"/>
    <w:rsid w:val="003A4688"/>
    <w:rsid w:val="00422BB1"/>
    <w:rsid w:val="004B0964"/>
    <w:rsid w:val="005102DC"/>
    <w:rsid w:val="00533DC8"/>
    <w:rsid w:val="00562B68"/>
    <w:rsid w:val="005B3730"/>
    <w:rsid w:val="006C5AB2"/>
    <w:rsid w:val="006E26D6"/>
    <w:rsid w:val="006F599C"/>
    <w:rsid w:val="00713600"/>
    <w:rsid w:val="00755AC8"/>
    <w:rsid w:val="0082682D"/>
    <w:rsid w:val="00850DE9"/>
    <w:rsid w:val="008B4EF5"/>
    <w:rsid w:val="008B69F3"/>
    <w:rsid w:val="00946EBD"/>
    <w:rsid w:val="00981574"/>
    <w:rsid w:val="00982FA6"/>
    <w:rsid w:val="00990CF6"/>
    <w:rsid w:val="00A4109F"/>
    <w:rsid w:val="00A8247B"/>
    <w:rsid w:val="00AD105C"/>
    <w:rsid w:val="00B25A2C"/>
    <w:rsid w:val="00B31AAC"/>
    <w:rsid w:val="00B41581"/>
    <w:rsid w:val="00BD5806"/>
    <w:rsid w:val="00C24DD3"/>
    <w:rsid w:val="00C31512"/>
    <w:rsid w:val="00C330A4"/>
    <w:rsid w:val="00CA7A00"/>
    <w:rsid w:val="00CC4495"/>
    <w:rsid w:val="00CE7863"/>
    <w:rsid w:val="00D738EF"/>
    <w:rsid w:val="00E61EA1"/>
    <w:rsid w:val="00EA31A0"/>
    <w:rsid w:val="00F528D5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0128"/>
  <w15:chartTrackingRefBased/>
  <w15:docId w15:val="{12443443-2E94-4D12-A596-9D18E592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AA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2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8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0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2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A7A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5B373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90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0C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6622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51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5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4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Senate Bill 533 Quick Reference Guide</DocumentSummary>
    <DocumentPublishDate xmlns="1624d5a5-934e-431c-bdeb-2205adc15921">2017-09-01T05:00:00+00:00</DocumentPublishDate>
    <DIRDepartment xmlns="1624d5a5-934e-431c-bdeb-2205adc15921">General</DIRDepartment>
    <SearchSummary xmlns="1624d5a5-934e-431c-bdeb-2205adc15921">Senate Bill 533 Quick Reference Guide</SearchSummary>
    <DocumentExtension xmlns="1624d5a5-934e-431c-bdeb-2205adc15921">docx</DocumentExtension>
    <DocumentCategory xmlns="1624d5a5-934e-431c-bdeb-2205adc15921">Audit</DocumentCategory>
    <RedirectURL xmlns="1624d5a5-934e-431c-bdeb-2205adc15921">/portal/internal/resources/DocumentLibrary/Senate Bill 533 Quick Reference Guide.docx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29.242172528</DocumentSize>
    <TSLACType xmlns="1624d5a5-934e-431c-bdeb-2205adc15921">Programs and Services</TSLACType>
    <SearchKeywords xmlns="1624d5a5-934e-431c-bdeb-2205adc15921">Senate Bill 533; Quick Reference Guide; 533; SB 533;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F644782-6723-4B0E-A41D-06016349E8E4}"/>
</file>

<file path=customXml/itemProps2.xml><?xml version="1.0" encoding="utf-8"?>
<ds:datastoreItem xmlns:ds="http://schemas.openxmlformats.org/officeDocument/2006/customXml" ds:itemID="{880F82EF-98BF-49B1-B174-88C57F582093}"/>
</file>

<file path=customXml/itemProps3.xml><?xml version="1.0" encoding="utf-8"?>
<ds:datastoreItem xmlns:ds="http://schemas.openxmlformats.org/officeDocument/2006/customXml" ds:itemID="{454C64C4-5623-444C-BB4B-4C0B68B22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Information Resources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Bill 533 Quick Reference Guide</dc:title>
  <dc:subject/>
  <dc:creator>Pate, Ellen</dc:creator>
  <cp:keywords/>
  <dc:description/>
  <cp:lastModifiedBy>Dana Collins</cp:lastModifiedBy>
  <cp:revision>2</cp:revision>
  <dcterms:created xsi:type="dcterms:W3CDTF">2017-09-01T11:15:00Z</dcterms:created>
  <dcterms:modified xsi:type="dcterms:W3CDTF">2017-09-01T11:15:00Z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4e7f0d7b-af58-4d14-a711-25a4e8942f2a,6;4e7f0d7b-af58-4d14-a711-25a4e8942f2a,6;4e7f0d7b-af58-4d14-a711-25a4e8942f2a,6;4e7f0d7b-af58-4d14-a711-25a4e8942f2a,6;4e7f0d7b-af58-4d14-a711-25a4e8942f2a,6;4e7f0d7b-af58-4d14-a711-25a4e8942f2a,6;4e7f0d7b-af58-4d14-a711-25a4e8942f2a,6;</vt:lpwstr>
  </property>
</Properties>
</file>